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91E5" w14:textId="50F7FDD9" w:rsidR="00F7013F" w:rsidRDefault="00F7013F">
      <w:pPr>
        <w:rPr>
          <w:lang w:val="tr-TR"/>
        </w:rPr>
      </w:pPr>
    </w:p>
    <w:p w14:paraId="11B69FB1" w14:textId="2618FFA0" w:rsidR="007E5F7E" w:rsidRDefault="007E5F7E">
      <w:pPr>
        <w:rPr>
          <w:lang w:val="tr-TR"/>
        </w:rPr>
      </w:pPr>
    </w:p>
    <w:p w14:paraId="27B0CE09" w14:textId="77777777" w:rsidR="007E5F7E" w:rsidRPr="00F90DE4" w:rsidRDefault="007E5F7E" w:rsidP="007E5F7E">
      <w:pPr>
        <w:jc w:val="both"/>
        <w:rPr>
          <w:rFonts w:ascii="Times New Roman" w:hAnsi="Times New Roman" w:cs="Times New Roman"/>
          <w:sz w:val="20"/>
          <w:szCs w:val="20"/>
        </w:rPr>
      </w:pPr>
    </w:p>
    <w:p w14:paraId="44DCE777" w14:textId="77777777" w:rsidR="007E5F7E" w:rsidRPr="00F90DE4" w:rsidRDefault="007E5F7E" w:rsidP="007E5F7E">
      <w:pPr>
        <w:jc w:val="both"/>
        <w:rPr>
          <w:rFonts w:ascii="Times New Roman" w:hAnsi="Times New Roman" w:cs="Times New Roman"/>
          <w:sz w:val="20"/>
          <w:szCs w:val="20"/>
        </w:rPr>
      </w:pPr>
    </w:p>
    <w:p w14:paraId="69A8A2E9" w14:textId="77777777" w:rsidR="007E5F7E" w:rsidRPr="00F90DE4" w:rsidRDefault="007E5F7E" w:rsidP="007E5F7E">
      <w:pPr>
        <w:jc w:val="both"/>
        <w:rPr>
          <w:rFonts w:ascii="Times New Roman" w:hAnsi="Times New Roman" w:cs="Times New Roman"/>
          <w:sz w:val="20"/>
          <w:szCs w:val="20"/>
        </w:rPr>
      </w:pPr>
    </w:p>
    <w:p w14:paraId="611C225C" w14:textId="77777777" w:rsidR="007E5F7E" w:rsidRDefault="007E5F7E" w:rsidP="007E5F7E">
      <w:pPr>
        <w:jc w:val="both"/>
        <w:rPr>
          <w:b/>
          <w:sz w:val="28"/>
        </w:rPr>
      </w:pPr>
    </w:p>
    <w:p w14:paraId="0F5F1817" w14:textId="77777777" w:rsidR="007E5F7E" w:rsidRDefault="007E5F7E" w:rsidP="007E5F7E">
      <w:pPr>
        <w:jc w:val="both"/>
        <w:rPr>
          <w:b/>
          <w:sz w:val="36"/>
        </w:rPr>
      </w:pPr>
      <w:r>
        <w:rPr>
          <w:b/>
          <w:sz w:val="36"/>
        </w:rPr>
        <w:t xml:space="preserve">Big Maccurrencies </w:t>
      </w:r>
    </w:p>
    <w:p w14:paraId="4E2BD6B6" w14:textId="5AA9F58F" w:rsidR="007E5F7E" w:rsidRDefault="00957ED0" w:rsidP="00957ED0">
      <w:pPr>
        <w:tabs>
          <w:tab w:val="left" w:pos="3045"/>
        </w:tabs>
        <w:jc w:val="both"/>
        <w:rPr>
          <w:b/>
          <w:sz w:val="36"/>
        </w:rPr>
      </w:pPr>
      <w:r>
        <w:rPr>
          <w:b/>
          <w:sz w:val="36"/>
        </w:rPr>
        <w:tab/>
      </w:r>
    </w:p>
    <w:p w14:paraId="22733EE4" w14:textId="442F6200" w:rsidR="007E5F7E" w:rsidRPr="00957ED0" w:rsidRDefault="007E5F7E" w:rsidP="007E5F7E">
      <w:pPr>
        <w:jc w:val="both"/>
        <w:rPr>
          <w:b/>
          <w:lang w:val="tr-TR"/>
        </w:rPr>
      </w:pPr>
      <w:r w:rsidRPr="00957ED0">
        <w:rPr>
          <w:b/>
          <w:lang w:val="tr-TR"/>
        </w:rPr>
        <w:t>Ali İhsan Karacan</w:t>
      </w:r>
    </w:p>
    <w:p w14:paraId="02D8F257" w14:textId="77777777" w:rsidR="007E5F7E" w:rsidRDefault="007E5F7E" w:rsidP="007E5F7E">
      <w:pPr>
        <w:jc w:val="both"/>
        <w:rPr>
          <w:b/>
          <w:sz w:val="36"/>
        </w:rPr>
      </w:pPr>
    </w:p>
    <w:p w14:paraId="57D5AE7F" w14:textId="77777777" w:rsidR="007E5F7E" w:rsidRDefault="007E5F7E" w:rsidP="007E5F7E">
      <w:pPr>
        <w:jc w:val="both"/>
        <w:rPr>
          <w:b/>
          <w:sz w:val="36"/>
        </w:rPr>
      </w:pPr>
    </w:p>
    <w:p w14:paraId="3B943580" w14:textId="23D6D96A" w:rsidR="007E5F7E" w:rsidRDefault="007E5F7E" w:rsidP="007E5F7E">
      <w:pPr>
        <w:jc w:val="both"/>
        <w:rPr>
          <w:sz w:val="28"/>
        </w:rPr>
      </w:pPr>
      <w:r>
        <w:rPr>
          <w:b/>
          <w:i/>
          <w:sz w:val="28"/>
        </w:rPr>
        <w:tab/>
        <w:t>The Economist</w:t>
      </w:r>
      <w:r>
        <w:rPr>
          <w:sz w:val="28"/>
        </w:rPr>
        <w:t xml:space="preserve"> isimli dergi 1986 yılından beri her yıl Nisan ayı içinde yayınlanan bir sayısında  Big MacCurrecies adlı bir inceleme sayfasını geleneksel olarak yayınlamaktadır . Buna dergi </w:t>
      </w:r>
      <w:r w:rsidRPr="007E5F7E">
        <w:rPr>
          <w:b/>
          <w:bCs/>
          <w:i/>
          <w:iCs/>
          <w:sz w:val="28"/>
        </w:rPr>
        <w:t>"Hamburger standardı"</w:t>
      </w:r>
      <w:r>
        <w:rPr>
          <w:sz w:val="28"/>
        </w:rPr>
        <w:t xml:space="preserve"> yada </w:t>
      </w:r>
      <w:r>
        <w:rPr>
          <w:sz w:val="28"/>
          <w:lang w:val="tr-TR"/>
        </w:rPr>
        <w:t>“</w:t>
      </w:r>
      <w:r w:rsidRPr="007E5F7E">
        <w:rPr>
          <w:b/>
          <w:bCs/>
          <w:i/>
          <w:iCs/>
          <w:sz w:val="28"/>
        </w:rPr>
        <w:t>Big Mac İndeksi"</w:t>
      </w:r>
      <w:r>
        <w:rPr>
          <w:sz w:val="28"/>
        </w:rPr>
        <w:t xml:space="preserve"> demektedir . Bu endeks bir çok finans kitabında örnek olarak kullanılmaktadır . Böyle bir endeksin yayınlanmasının çıkış noktası iktisadın  </w:t>
      </w:r>
      <w:r>
        <w:rPr>
          <w:b/>
          <w:i/>
          <w:sz w:val="28"/>
        </w:rPr>
        <w:t>Satınalma Gücü Paritesi  (PPP- Purchasig Power Parity)</w:t>
      </w:r>
      <w:r>
        <w:rPr>
          <w:sz w:val="28"/>
        </w:rPr>
        <w:t xml:space="preserve"> </w:t>
      </w:r>
      <w:r>
        <w:rPr>
          <w:b/>
          <w:i/>
          <w:sz w:val="28"/>
        </w:rPr>
        <w:t>Teorisi</w:t>
      </w:r>
      <w:r>
        <w:rPr>
          <w:sz w:val="28"/>
        </w:rPr>
        <w:t xml:space="preserve"> olarak isimlendirilen yaklaşımı. Bu teorinin çıkış noktası döviz kurlarının ülkelerarasındaki gerçek satınalma gücü farklılıklarını yansıtması. Bir başka deyişle bu teoriye göre bir para, sözgelimi dolar , bütün ülkelerde aynı miktarı satın almalıdır. Eğer bunda farklılıklar var ise bu farklılıkların piyasa mekanizmasının etkisiyle  belirli bir süre içinde ortadan kalkması gerekir . Diğer bir deyişle , uzun vadede , iki para arasındaki kambiyo kuru , aynı mallardan oluşan bir sepetin fiyatını ülkelerde eşitleyecek şekilde değişmelidir .  </w:t>
      </w:r>
    </w:p>
    <w:p w14:paraId="3FD5478B" w14:textId="77777777" w:rsidR="007E5F7E" w:rsidRDefault="007E5F7E" w:rsidP="007E5F7E">
      <w:pPr>
        <w:jc w:val="both"/>
        <w:rPr>
          <w:sz w:val="28"/>
        </w:rPr>
      </w:pPr>
    </w:p>
    <w:p w14:paraId="74266361" w14:textId="4866FA36" w:rsidR="007E5F7E" w:rsidRDefault="007E5F7E" w:rsidP="007E5F7E">
      <w:pPr>
        <w:jc w:val="both"/>
        <w:rPr>
          <w:sz w:val="28"/>
        </w:rPr>
      </w:pPr>
      <w:r>
        <w:rPr>
          <w:sz w:val="28"/>
        </w:rPr>
        <w:tab/>
        <w:t xml:space="preserve">Hemen belirtmeliyim ki PPP , döviz piyasasında eşitlenmeyi sağlayan mekanizmalardan yalnızca birisi. Bu eşitliği iktisat yazınında dört-yönlü eşitlik olarak isimlendirdiğimiz karşılıklı etkileşim içinde işleyen bir mekanizma sağlar ve PPP bu ayakların yalnızca  bir noktasında yer alır . PPP yanısıra </w:t>
      </w:r>
      <w:r>
        <w:rPr>
          <w:b/>
          <w:i/>
          <w:sz w:val="28"/>
        </w:rPr>
        <w:t>Fisher Etkisi</w:t>
      </w:r>
      <w:r>
        <w:rPr>
          <w:sz w:val="28"/>
        </w:rPr>
        <w:t xml:space="preserve"> ile </w:t>
      </w:r>
      <w:r>
        <w:rPr>
          <w:b/>
          <w:i/>
          <w:sz w:val="28"/>
        </w:rPr>
        <w:t>Uluslararası Fisher Etkisi</w:t>
      </w:r>
      <w:r>
        <w:rPr>
          <w:sz w:val="28"/>
        </w:rPr>
        <w:t xml:space="preserve"> , </w:t>
      </w:r>
      <w:r>
        <w:rPr>
          <w:b/>
          <w:i/>
          <w:sz w:val="28"/>
        </w:rPr>
        <w:t xml:space="preserve">Faiz Oranı Paritesi , Bekleyişler Teorisi </w:t>
      </w:r>
      <w:r>
        <w:rPr>
          <w:sz w:val="28"/>
        </w:rPr>
        <w:t xml:space="preserve"> gibi ayakların tamamladığı bu eşitlenmenin açıklamasını burada yapmaya gerek yok. Diğer yandan teorinin bu yaklaşımı çok sayıda çalışma ile test edilmiş (Bu testlerin geniş bir özetinin yapıldığı </w:t>
      </w:r>
      <w:r>
        <w:rPr>
          <w:b/>
          <w:i/>
          <w:sz w:val="28"/>
        </w:rPr>
        <w:t>A.Buckley</w:t>
      </w:r>
      <w:r>
        <w:rPr>
          <w:sz w:val="28"/>
        </w:rPr>
        <w:t xml:space="preserve">'in Multinational Finance isimli kitabının 11. Bölümünün yaptığım çevirisi için Finans Dünyası Dergisi Nisan 1994 ) . Bir başka konu da döviz kurlarının hareketlerine ilişkin olarak cok sayıda başka açıklamalar ve teoriler var . </w:t>
      </w:r>
    </w:p>
    <w:p w14:paraId="7FBF6FCE" w14:textId="77777777" w:rsidR="007E5F7E" w:rsidRDefault="007E5F7E" w:rsidP="007E5F7E">
      <w:pPr>
        <w:jc w:val="both"/>
        <w:rPr>
          <w:sz w:val="28"/>
        </w:rPr>
      </w:pPr>
    </w:p>
    <w:p w14:paraId="6E311D81" w14:textId="6FE8AC8F" w:rsidR="007E5F7E" w:rsidRDefault="007E5F7E" w:rsidP="007E5F7E">
      <w:pPr>
        <w:jc w:val="both"/>
        <w:rPr>
          <w:sz w:val="28"/>
        </w:rPr>
      </w:pPr>
      <w:r>
        <w:rPr>
          <w:sz w:val="28"/>
        </w:rPr>
        <w:tab/>
        <w:t xml:space="preserve">PPP Teorisinin temel yaklaşımından yola çıkan The Economist, 68 ülkede yerel olarak üretilen McDonalds'ın Big Mac'ini temsili sepeti oluşturan bir mal olarak kabul etmiştir. Big Mac PPP , hamburgerleri bütün ülkelerde aynı şekilde fiyatlayan bir kambiyo kuru olarak düşünülmüştür. Dergi , yöntemin PPP nin çok </w:t>
      </w:r>
      <w:r>
        <w:rPr>
          <w:sz w:val="28"/>
        </w:rPr>
        <w:lastRenderedPageBreak/>
        <w:t xml:space="preserve">kaba bir ölçümünü sağladığını itiraf etmektedir. Ama bence bu eğlenceli , eğlenceli olduğu kadar da basit ama gerçekçi bir varsayıma dayanmaktadır. McDonalds'ın ürünlerinin hemen her ülkede aynı standart kalitede üretilmesi bence çok önemli bir başlangıç noktası. Sonra bir Big Mac  içerdiği hammaddeler açısından da bir çok maliyet unsurunu (un ve buğday fiyatından patetes ve yağ fiyatına, işçi ücretinden yer kiralarına  gibi ) toplayıcı bir özelliğe sahiptir. </w:t>
      </w:r>
    </w:p>
    <w:p w14:paraId="6D45DED0" w14:textId="77777777" w:rsidR="007E5F7E" w:rsidRDefault="007E5F7E" w:rsidP="007E5F7E">
      <w:pPr>
        <w:jc w:val="both"/>
        <w:rPr>
          <w:sz w:val="28"/>
        </w:rPr>
      </w:pPr>
    </w:p>
    <w:p w14:paraId="5DF03E53" w14:textId="77777777" w:rsidR="00C95229" w:rsidRDefault="007E5F7E" w:rsidP="007E5F7E">
      <w:pPr>
        <w:jc w:val="both"/>
        <w:rPr>
          <w:sz w:val="28"/>
        </w:rPr>
      </w:pPr>
      <w:r>
        <w:rPr>
          <w:sz w:val="28"/>
        </w:rPr>
        <w:tab/>
        <w:t>Bu endeks , bu yıl 9-15 Nisan 1994 tarihli The Economist'de yayınlandı . Endeks hangi paraların birbiri karşısında aşırı değerlendiği hangilerin eksik değerlendiği konusunda ilginç sonuçlara ulaşmış . 68 ülkeden yalnızca 31 ülkenin yer aldığı tabloda ne yazıkki ülkemizin ismi yer almıyor . Bu nedenle TL sının diğer paralar karşısındaki değeri konusunda bir değerlendirme yok. Derginin yaklaşımından yola çıkarak TL sının değerinin ne olması gerektiğini hesaplamak istiyorum.</w:t>
      </w:r>
      <w:r w:rsidR="00C95229">
        <w:rPr>
          <w:sz w:val="28"/>
          <w:lang w:val="tr-TR"/>
        </w:rPr>
        <w:t xml:space="preserve"> </w:t>
      </w:r>
      <w:r>
        <w:rPr>
          <w:sz w:val="28"/>
        </w:rPr>
        <w:t xml:space="preserve">Hesaplama The Economist'de dolar esas alınarak yapılmıştır . Ben ise tersie çevirip TL sını esas almak ve TL sının diğer paralar karşısındaki değerinin göreli durumunu hesaplamak istiyorum. Bu hesaplamada ülke sayısını bizim açımızdan önemli olan  6 batılı ülkeye indirdim  İkinci sütün o ülkedeki yerel para ile Big Mac fiyatını göstermektedir. </w:t>
      </w:r>
    </w:p>
    <w:p w14:paraId="19B28601" w14:textId="77777777" w:rsidR="00C95229" w:rsidRDefault="00C95229" w:rsidP="007E5F7E">
      <w:pPr>
        <w:jc w:val="both"/>
        <w:rPr>
          <w:sz w:val="28"/>
        </w:rPr>
      </w:pPr>
    </w:p>
    <w:p w14:paraId="2C81C2A1" w14:textId="0728F933" w:rsidR="007E5F7E" w:rsidRDefault="007E5F7E" w:rsidP="00C95229">
      <w:pPr>
        <w:ind w:firstLine="720"/>
        <w:jc w:val="both"/>
        <w:rPr>
          <w:sz w:val="28"/>
        </w:rPr>
      </w:pPr>
      <w:r>
        <w:rPr>
          <w:sz w:val="28"/>
        </w:rPr>
        <w:t>Üçüncü sütün cari kurdan Big Mac 'in diğer ülkelerdeki fiyatının ülkemiz parası cinsinden değeri yer almaktadır. Bu ikinci sütünda yer alan diğer ülkelerin Big Mac fiyatlarının cari kur ile  çarpılmasıyla hesaplanmaktadır. Dördüncü sütün piyasada geçerli cari kurları göstermektedir . Beşincisi PPP'ye göre olan kuru göstermektedir . Bu da birinci sütündaki Yerel fiyatların TL fiyata bölünmesi ile bulunmaktadır .Son sütün TL sının yabancı paralar karşısındaki cari değerinin bu şekilde hesaplanan PP kuruna göre olan farkını % olarak göstermekte olup PP Kurun cari kurdan olan farkının cari kura bölünmesi ile hesaplanmaktadır . Bu değerin - olması halinde TL sının o para karşısında aşırı değer kaybetmeş olduğunu + olması halinde ise TL sının aşırı değerli olduğunu göstermektedir . 14 Mayıs 1994 tarihli TCMB nın döviz satış kurları esas alınarak yapılan hesaplama aşağıda gösterilmiştir .</w:t>
      </w:r>
    </w:p>
    <w:p w14:paraId="49ECCCC7" w14:textId="1C78D16D" w:rsidR="00030DA9" w:rsidRDefault="00030DA9" w:rsidP="00C95229">
      <w:pPr>
        <w:ind w:firstLine="720"/>
        <w:jc w:val="both"/>
        <w:rPr>
          <w:sz w:val="28"/>
        </w:rPr>
      </w:pPr>
    </w:p>
    <w:p w14:paraId="620701FC" w14:textId="61F203FF" w:rsidR="00030DA9" w:rsidRDefault="00030DA9" w:rsidP="00C95229">
      <w:pPr>
        <w:ind w:firstLine="720"/>
        <w:jc w:val="both"/>
        <w:rPr>
          <w:sz w:val="28"/>
        </w:rPr>
      </w:pPr>
    </w:p>
    <w:p w14:paraId="1C904A65" w14:textId="6682C8B9" w:rsidR="00030DA9" w:rsidRDefault="00030DA9" w:rsidP="00C95229">
      <w:pPr>
        <w:ind w:firstLine="720"/>
        <w:jc w:val="both"/>
        <w:rPr>
          <w:sz w:val="28"/>
        </w:rPr>
      </w:pPr>
    </w:p>
    <w:p w14:paraId="425B5EB6" w14:textId="464D4F79" w:rsidR="00030DA9" w:rsidRDefault="00030DA9" w:rsidP="00C95229">
      <w:pPr>
        <w:ind w:firstLine="720"/>
        <w:jc w:val="both"/>
        <w:rPr>
          <w:sz w:val="28"/>
        </w:rPr>
      </w:pPr>
    </w:p>
    <w:p w14:paraId="1EEEA941" w14:textId="44DFE35A" w:rsidR="00030DA9" w:rsidRDefault="00030DA9" w:rsidP="00C95229">
      <w:pPr>
        <w:ind w:firstLine="720"/>
        <w:jc w:val="both"/>
        <w:rPr>
          <w:sz w:val="28"/>
        </w:rPr>
      </w:pPr>
    </w:p>
    <w:p w14:paraId="5C21CB23" w14:textId="177AD695" w:rsidR="00030DA9" w:rsidRDefault="00030DA9" w:rsidP="00C95229">
      <w:pPr>
        <w:ind w:firstLine="720"/>
        <w:jc w:val="both"/>
        <w:rPr>
          <w:sz w:val="28"/>
        </w:rPr>
      </w:pPr>
    </w:p>
    <w:p w14:paraId="5E86D5F0" w14:textId="75CA40C9" w:rsidR="00030DA9" w:rsidRDefault="00030DA9" w:rsidP="00C95229">
      <w:pPr>
        <w:ind w:firstLine="720"/>
        <w:jc w:val="both"/>
        <w:rPr>
          <w:sz w:val="28"/>
        </w:rPr>
      </w:pPr>
    </w:p>
    <w:p w14:paraId="6B244EBC" w14:textId="6AED7BE7" w:rsidR="00030DA9" w:rsidRDefault="00030DA9" w:rsidP="00C95229">
      <w:pPr>
        <w:ind w:firstLine="720"/>
        <w:jc w:val="both"/>
        <w:rPr>
          <w:sz w:val="28"/>
        </w:rPr>
      </w:pPr>
    </w:p>
    <w:p w14:paraId="33B745A1" w14:textId="77777777" w:rsidR="00030DA9" w:rsidRDefault="00030DA9" w:rsidP="00C95229">
      <w:pPr>
        <w:ind w:firstLine="720"/>
        <w:jc w:val="both"/>
        <w:rPr>
          <w:sz w:val="28"/>
        </w:rPr>
      </w:pPr>
    </w:p>
    <w:p w14:paraId="65E08D68" w14:textId="729DB235" w:rsidR="00030DA9" w:rsidRDefault="00030DA9" w:rsidP="00C95229">
      <w:pPr>
        <w:ind w:firstLine="720"/>
        <w:jc w:val="both"/>
        <w:rPr>
          <w:sz w:val="28"/>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030DA9" w14:paraId="4AE386C9" w14:textId="77777777" w:rsidTr="00030DA9">
        <w:tc>
          <w:tcPr>
            <w:tcW w:w="1501" w:type="dxa"/>
          </w:tcPr>
          <w:p w14:paraId="0E5E3EBA" w14:textId="77777777" w:rsidR="00030DA9" w:rsidRPr="00030DA9" w:rsidRDefault="00030DA9" w:rsidP="00C95229">
            <w:pPr>
              <w:jc w:val="both"/>
              <w:rPr>
                <w:sz w:val="20"/>
                <w:szCs w:val="20"/>
              </w:rPr>
            </w:pPr>
          </w:p>
        </w:tc>
        <w:tc>
          <w:tcPr>
            <w:tcW w:w="1501" w:type="dxa"/>
          </w:tcPr>
          <w:p w14:paraId="780BF5EE" w14:textId="77777777" w:rsidR="00030DA9" w:rsidRDefault="00030DA9" w:rsidP="00C95229">
            <w:pPr>
              <w:jc w:val="both"/>
              <w:rPr>
                <w:sz w:val="20"/>
                <w:szCs w:val="20"/>
              </w:rPr>
            </w:pPr>
          </w:p>
          <w:p w14:paraId="5FA1C4AA" w14:textId="7EFAD6B6" w:rsidR="00030DA9" w:rsidRDefault="00030DA9" w:rsidP="00C95229">
            <w:pPr>
              <w:jc w:val="both"/>
              <w:rPr>
                <w:sz w:val="20"/>
                <w:szCs w:val="20"/>
              </w:rPr>
            </w:pPr>
            <w:r>
              <w:rPr>
                <w:sz w:val="20"/>
                <w:szCs w:val="20"/>
              </w:rPr>
              <w:t xml:space="preserve">Big Mac </w:t>
            </w:r>
            <w:proofErr w:type="spellStart"/>
            <w:r>
              <w:rPr>
                <w:sz w:val="20"/>
                <w:szCs w:val="20"/>
              </w:rPr>
              <w:t>Fiyatı</w:t>
            </w:r>
            <w:proofErr w:type="spellEnd"/>
          </w:p>
          <w:p w14:paraId="509912E7" w14:textId="003C6C0D" w:rsidR="00030DA9" w:rsidRPr="00030DA9" w:rsidRDefault="00030DA9" w:rsidP="00C95229">
            <w:pPr>
              <w:jc w:val="both"/>
              <w:rPr>
                <w:sz w:val="20"/>
                <w:szCs w:val="20"/>
              </w:rPr>
            </w:pPr>
            <w:r>
              <w:rPr>
                <w:sz w:val="20"/>
                <w:szCs w:val="20"/>
              </w:rPr>
              <w:t>(</w:t>
            </w:r>
            <w:proofErr w:type="spellStart"/>
            <w:r>
              <w:rPr>
                <w:sz w:val="20"/>
                <w:szCs w:val="20"/>
              </w:rPr>
              <w:t>Yerel</w:t>
            </w:r>
            <w:proofErr w:type="spellEnd"/>
            <w:r>
              <w:rPr>
                <w:sz w:val="20"/>
                <w:szCs w:val="20"/>
              </w:rPr>
              <w:t xml:space="preserve"> </w:t>
            </w:r>
            <w:proofErr w:type="spellStart"/>
            <w:r>
              <w:rPr>
                <w:sz w:val="20"/>
                <w:szCs w:val="20"/>
              </w:rPr>
              <w:t>Fiyat</w:t>
            </w:r>
            <w:proofErr w:type="spellEnd"/>
            <w:r>
              <w:rPr>
                <w:sz w:val="20"/>
                <w:szCs w:val="20"/>
              </w:rPr>
              <w:t>)</w:t>
            </w:r>
          </w:p>
        </w:tc>
        <w:tc>
          <w:tcPr>
            <w:tcW w:w="1502" w:type="dxa"/>
          </w:tcPr>
          <w:p w14:paraId="621D714D" w14:textId="6D2D53F5" w:rsidR="00030DA9" w:rsidRDefault="00030DA9" w:rsidP="00C95229">
            <w:pPr>
              <w:jc w:val="both"/>
              <w:rPr>
                <w:sz w:val="20"/>
                <w:szCs w:val="20"/>
              </w:rPr>
            </w:pPr>
            <w:r>
              <w:rPr>
                <w:sz w:val="20"/>
                <w:szCs w:val="20"/>
              </w:rPr>
              <w:t xml:space="preserve"> Big </w:t>
            </w:r>
            <w:proofErr w:type="gramStart"/>
            <w:r>
              <w:rPr>
                <w:sz w:val="20"/>
                <w:szCs w:val="20"/>
              </w:rPr>
              <w:t xml:space="preserve">Mac  </w:t>
            </w:r>
            <w:proofErr w:type="spellStart"/>
            <w:r>
              <w:rPr>
                <w:sz w:val="20"/>
                <w:szCs w:val="20"/>
              </w:rPr>
              <w:t>Yerel</w:t>
            </w:r>
            <w:proofErr w:type="spellEnd"/>
            <w:proofErr w:type="gramEnd"/>
            <w:r>
              <w:rPr>
                <w:sz w:val="20"/>
                <w:szCs w:val="20"/>
              </w:rPr>
              <w:t xml:space="preserve"> </w:t>
            </w:r>
            <w:proofErr w:type="spellStart"/>
            <w:r>
              <w:rPr>
                <w:sz w:val="20"/>
                <w:szCs w:val="20"/>
              </w:rPr>
              <w:t>Fiyatının</w:t>
            </w:r>
            <w:proofErr w:type="spellEnd"/>
            <w:r>
              <w:rPr>
                <w:sz w:val="20"/>
                <w:szCs w:val="20"/>
              </w:rPr>
              <w:t xml:space="preserve"> Cari </w:t>
            </w:r>
            <w:proofErr w:type="spellStart"/>
            <w:r>
              <w:rPr>
                <w:sz w:val="20"/>
                <w:szCs w:val="20"/>
              </w:rPr>
              <w:t>Kurdan</w:t>
            </w:r>
            <w:proofErr w:type="spellEnd"/>
            <w:r>
              <w:rPr>
                <w:sz w:val="20"/>
                <w:szCs w:val="20"/>
              </w:rPr>
              <w:t xml:space="preserve"> TL</w:t>
            </w:r>
          </w:p>
          <w:p w14:paraId="1B76FDA3" w14:textId="1C47FE24" w:rsidR="00030DA9" w:rsidRPr="00030DA9" w:rsidRDefault="00030DA9" w:rsidP="00C95229">
            <w:pPr>
              <w:jc w:val="both"/>
              <w:rPr>
                <w:sz w:val="20"/>
                <w:szCs w:val="20"/>
              </w:rPr>
            </w:pPr>
            <w:proofErr w:type="spellStart"/>
            <w:r>
              <w:rPr>
                <w:sz w:val="20"/>
                <w:szCs w:val="20"/>
              </w:rPr>
              <w:t>Karşılığı</w:t>
            </w:r>
            <w:proofErr w:type="spellEnd"/>
          </w:p>
        </w:tc>
        <w:tc>
          <w:tcPr>
            <w:tcW w:w="1502" w:type="dxa"/>
          </w:tcPr>
          <w:p w14:paraId="14D5F033" w14:textId="77777777" w:rsidR="00030DA9" w:rsidRDefault="00030DA9" w:rsidP="00C95229">
            <w:pPr>
              <w:jc w:val="both"/>
              <w:rPr>
                <w:sz w:val="20"/>
                <w:szCs w:val="20"/>
              </w:rPr>
            </w:pPr>
          </w:p>
          <w:p w14:paraId="00BDF6ED" w14:textId="7DE6A85D" w:rsidR="00030DA9" w:rsidRDefault="00030DA9" w:rsidP="00C95229">
            <w:pPr>
              <w:jc w:val="both"/>
              <w:rPr>
                <w:sz w:val="20"/>
                <w:szCs w:val="20"/>
              </w:rPr>
            </w:pPr>
            <w:r>
              <w:rPr>
                <w:sz w:val="20"/>
                <w:szCs w:val="20"/>
              </w:rPr>
              <w:t xml:space="preserve">Cari TL </w:t>
            </w:r>
          </w:p>
          <w:p w14:paraId="3EED2843" w14:textId="67569C7B" w:rsidR="00030DA9" w:rsidRPr="00030DA9" w:rsidRDefault="00030DA9" w:rsidP="00C95229">
            <w:pPr>
              <w:jc w:val="both"/>
              <w:rPr>
                <w:sz w:val="20"/>
                <w:szCs w:val="20"/>
              </w:rPr>
            </w:pPr>
            <w:proofErr w:type="spellStart"/>
            <w:r>
              <w:rPr>
                <w:sz w:val="20"/>
                <w:szCs w:val="20"/>
              </w:rPr>
              <w:t>Kambiyo</w:t>
            </w:r>
            <w:proofErr w:type="spellEnd"/>
            <w:r>
              <w:rPr>
                <w:sz w:val="20"/>
                <w:szCs w:val="20"/>
              </w:rPr>
              <w:t xml:space="preserve"> Kuru</w:t>
            </w:r>
          </w:p>
        </w:tc>
        <w:tc>
          <w:tcPr>
            <w:tcW w:w="1502" w:type="dxa"/>
          </w:tcPr>
          <w:p w14:paraId="5414E6C2" w14:textId="77777777" w:rsidR="00030DA9" w:rsidRDefault="00030DA9" w:rsidP="00C95229">
            <w:pPr>
              <w:jc w:val="both"/>
              <w:rPr>
                <w:sz w:val="20"/>
                <w:szCs w:val="20"/>
              </w:rPr>
            </w:pPr>
          </w:p>
          <w:p w14:paraId="0BCC5235" w14:textId="6E6C841B" w:rsidR="00030DA9" w:rsidRDefault="00030DA9" w:rsidP="00C95229">
            <w:pPr>
              <w:jc w:val="both"/>
              <w:rPr>
                <w:sz w:val="20"/>
                <w:szCs w:val="20"/>
              </w:rPr>
            </w:pPr>
            <w:proofErr w:type="spellStart"/>
            <w:r>
              <w:rPr>
                <w:sz w:val="20"/>
                <w:szCs w:val="20"/>
              </w:rPr>
              <w:t>PP’ye</w:t>
            </w:r>
            <w:proofErr w:type="spellEnd"/>
            <w:r>
              <w:rPr>
                <w:sz w:val="20"/>
                <w:szCs w:val="20"/>
              </w:rPr>
              <w:t xml:space="preserve"> </w:t>
            </w:r>
            <w:proofErr w:type="spellStart"/>
            <w:r>
              <w:rPr>
                <w:sz w:val="20"/>
                <w:szCs w:val="20"/>
              </w:rPr>
              <w:t>Göre</w:t>
            </w:r>
            <w:proofErr w:type="spellEnd"/>
            <w:r>
              <w:rPr>
                <w:sz w:val="20"/>
                <w:szCs w:val="20"/>
              </w:rPr>
              <w:t xml:space="preserve"> TL</w:t>
            </w:r>
          </w:p>
          <w:p w14:paraId="2B2E6836" w14:textId="0225E357" w:rsidR="00030DA9" w:rsidRPr="00030DA9" w:rsidRDefault="00030DA9" w:rsidP="00C95229">
            <w:pPr>
              <w:jc w:val="both"/>
              <w:rPr>
                <w:sz w:val="20"/>
                <w:szCs w:val="20"/>
              </w:rPr>
            </w:pPr>
            <w:r>
              <w:rPr>
                <w:sz w:val="20"/>
                <w:szCs w:val="20"/>
              </w:rPr>
              <w:t>Kuru</w:t>
            </w:r>
          </w:p>
        </w:tc>
        <w:tc>
          <w:tcPr>
            <w:tcW w:w="1502" w:type="dxa"/>
          </w:tcPr>
          <w:p w14:paraId="41E520D1" w14:textId="77777777" w:rsidR="00030DA9" w:rsidRDefault="00030DA9" w:rsidP="00C95229">
            <w:pPr>
              <w:jc w:val="both"/>
              <w:rPr>
                <w:sz w:val="20"/>
                <w:szCs w:val="20"/>
              </w:rPr>
            </w:pPr>
          </w:p>
          <w:p w14:paraId="3BF73E54" w14:textId="5E23BD85" w:rsidR="00030DA9" w:rsidRDefault="00030DA9" w:rsidP="00C95229">
            <w:pPr>
              <w:jc w:val="both"/>
              <w:rPr>
                <w:sz w:val="20"/>
                <w:szCs w:val="20"/>
              </w:rPr>
            </w:pPr>
            <w:proofErr w:type="spellStart"/>
            <w:r>
              <w:rPr>
                <w:sz w:val="20"/>
                <w:szCs w:val="20"/>
              </w:rPr>
              <w:t>Değerlenme</w:t>
            </w:r>
            <w:proofErr w:type="spellEnd"/>
            <w:r>
              <w:rPr>
                <w:sz w:val="20"/>
                <w:szCs w:val="20"/>
              </w:rPr>
              <w:t xml:space="preserve"> Durumu</w:t>
            </w:r>
          </w:p>
          <w:p w14:paraId="2E60993D" w14:textId="17311ED8" w:rsidR="00030DA9" w:rsidRPr="00030DA9" w:rsidRDefault="00030DA9" w:rsidP="00C95229">
            <w:pPr>
              <w:jc w:val="both"/>
              <w:rPr>
                <w:sz w:val="20"/>
                <w:szCs w:val="20"/>
              </w:rPr>
            </w:pPr>
            <w:r>
              <w:rPr>
                <w:sz w:val="20"/>
                <w:szCs w:val="20"/>
              </w:rPr>
              <w:t>(%)</w:t>
            </w:r>
          </w:p>
        </w:tc>
      </w:tr>
      <w:tr w:rsidR="00030DA9" w14:paraId="6E0001CF" w14:textId="77777777" w:rsidTr="00030DA9">
        <w:tc>
          <w:tcPr>
            <w:tcW w:w="1501" w:type="dxa"/>
          </w:tcPr>
          <w:p w14:paraId="15B6ADC1" w14:textId="5872372F" w:rsidR="00030DA9" w:rsidRPr="00030DA9" w:rsidRDefault="00030DA9" w:rsidP="00C95229">
            <w:pPr>
              <w:jc w:val="both"/>
              <w:rPr>
                <w:sz w:val="20"/>
                <w:szCs w:val="20"/>
              </w:rPr>
            </w:pPr>
            <w:proofErr w:type="spellStart"/>
            <w:r w:rsidRPr="00030DA9">
              <w:rPr>
                <w:sz w:val="20"/>
                <w:szCs w:val="20"/>
              </w:rPr>
              <w:t>Türkiye</w:t>
            </w:r>
            <w:proofErr w:type="spellEnd"/>
          </w:p>
        </w:tc>
        <w:tc>
          <w:tcPr>
            <w:tcW w:w="1501" w:type="dxa"/>
          </w:tcPr>
          <w:p w14:paraId="1C348BB3" w14:textId="00CE1328" w:rsidR="00030DA9" w:rsidRPr="00030DA9" w:rsidRDefault="00030DA9" w:rsidP="00C95229">
            <w:pPr>
              <w:jc w:val="both"/>
              <w:rPr>
                <w:sz w:val="20"/>
                <w:szCs w:val="20"/>
              </w:rPr>
            </w:pPr>
            <w:r>
              <w:rPr>
                <w:sz w:val="20"/>
                <w:szCs w:val="20"/>
              </w:rPr>
              <w:t>TL 45.00</w:t>
            </w:r>
          </w:p>
        </w:tc>
        <w:tc>
          <w:tcPr>
            <w:tcW w:w="1502" w:type="dxa"/>
          </w:tcPr>
          <w:p w14:paraId="26E0098D" w14:textId="36EE7A01" w:rsidR="00030DA9" w:rsidRPr="00030DA9" w:rsidRDefault="00030DA9" w:rsidP="00C95229">
            <w:pPr>
              <w:jc w:val="both"/>
              <w:rPr>
                <w:sz w:val="20"/>
                <w:szCs w:val="20"/>
              </w:rPr>
            </w:pPr>
            <w:r>
              <w:rPr>
                <w:sz w:val="20"/>
                <w:szCs w:val="20"/>
              </w:rPr>
              <w:t>-</w:t>
            </w:r>
          </w:p>
        </w:tc>
        <w:tc>
          <w:tcPr>
            <w:tcW w:w="1502" w:type="dxa"/>
          </w:tcPr>
          <w:p w14:paraId="7BDB308C" w14:textId="75CB3B7F" w:rsidR="00030DA9" w:rsidRPr="00030DA9" w:rsidRDefault="00030DA9" w:rsidP="00C95229">
            <w:pPr>
              <w:jc w:val="both"/>
              <w:rPr>
                <w:sz w:val="20"/>
                <w:szCs w:val="20"/>
              </w:rPr>
            </w:pPr>
            <w:r>
              <w:rPr>
                <w:sz w:val="20"/>
                <w:szCs w:val="20"/>
              </w:rPr>
              <w:t>-</w:t>
            </w:r>
          </w:p>
        </w:tc>
        <w:tc>
          <w:tcPr>
            <w:tcW w:w="1502" w:type="dxa"/>
          </w:tcPr>
          <w:p w14:paraId="22E27242" w14:textId="5278FBB1" w:rsidR="00030DA9" w:rsidRPr="00030DA9" w:rsidRDefault="00030DA9" w:rsidP="00C95229">
            <w:pPr>
              <w:jc w:val="both"/>
              <w:rPr>
                <w:sz w:val="20"/>
                <w:szCs w:val="20"/>
              </w:rPr>
            </w:pPr>
            <w:r>
              <w:rPr>
                <w:sz w:val="20"/>
                <w:szCs w:val="20"/>
              </w:rPr>
              <w:t>-</w:t>
            </w:r>
          </w:p>
        </w:tc>
        <w:tc>
          <w:tcPr>
            <w:tcW w:w="1502" w:type="dxa"/>
          </w:tcPr>
          <w:p w14:paraId="64460A24" w14:textId="065C8A20" w:rsidR="00030DA9" w:rsidRPr="00030DA9" w:rsidRDefault="00030DA9" w:rsidP="00C95229">
            <w:pPr>
              <w:jc w:val="both"/>
              <w:rPr>
                <w:sz w:val="20"/>
                <w:szCs w:val="20"/>
              </w:rPr>
            </w:pPr>
            <w:r>
              <w:rPr>
                <w:sz w:val="20"/>
                <w:szCs w:val="20"/>
              </w:rPr>
              <w:t>-</w:t>
            </w:r>
          </w:p>
        </w:tc>
      </w:tr>
      <w:tr w:rsidR="00030DA9" w14:paraId="5D645BB9" w14:textId="77777777" w:rsidTr="00030DA9">
        <w:tc>
          <w:tcPr>
            <w:tcW w:w="1501" w:type="dxa"/>
          </w:tcPr>
          <w:p w14:paraId="11525046" w14:textId="4FBF7D0D" w:rsidR="00030DA9" w:rsidRPr="00030DA9" w:rsidRDefault="00030DA9" w:rsidP="00C95229">
            <w:pPr>
              <w:jc w:val="both"/>
              <w:rPr>
                <w:sz w:val="20"/>
                <w:szCs w:val="20"/>
              </w:rPr>
            </w:pPr>
            <w:r w:rsidRPr="00030DA9">
              <w:rPr>
                <w:sz w:val="20"/>
                <w:szCs w:val="20"/>
              </w:rPr>
              <w:t>ABD</w:t>
            </w:r>
          </w:p>
        </w:tc>
        <w:tc>
          <w:tcPr>
            <w:tcW w:w="1501" w:type="dxa"/>
          </w:tcPr>
          <w:p w14:paraId="1DDE3A77" w14:textId="5C24C34F" w:rsidR="00030DA9" w:rsidRPr="00030DA9" w:rsidRDefault="00030DA9" w:rsidP="00C95229">
            <w:pPr>
              <w:jc w:val="both"/>
              <w:rPr>
                <w:sz w:val="20"/>
                <w:szCs w:val="20"/>
              </w:rPr>
            </w:pPr>
            <w:r>
              <w:rPr>
                <w:sz w:val="20"/>
                <w:szCs w:val="20"/>
              </w:rPr>
              <w:t>USD 2.30</w:t>
            </w:r>
          </w:p>
        </w:tc>
        <w:tc>
          <w:tcPr>
            <w:tcW w:w="1502" w:type="dxa"/>
          </w:tcPr>
          <w:p w14:paraId="7175A113" w14:textId="676EFAA7" w:rsidR="00030DA9" w:rsidRPr="00030DA9" w:rsidRDefault="00030DA9" w:rsidP="00C95229">
            <w:pPr>
              <w:jc w:val="both"/>
              <w:rPr>
                <w:sz w:val="20"/>
                <w:szCs w:val="20"/>
              </w:rPr>
            </w:pPr>
            <w:r>
              <w:rPr>
                <w:sz w:val="20"/>
                <w:szCs w:val="20"/>
              </w:rPr>
              <w:t>76.953</w:t>
            </w:r>
          </w:p>
        </w:tc>
        <w:tc>
          <w:tcPr>
            <w:tcW w:w="1502" w:type="dxa"/>
          </w:tcPr>
          <w:p w14:paraId="48B1386F" w14:textId="3C693AEE" w:rsidR="00030DA9" w:rsidRPr="00030DA9" w:rsidRDefault="00030DA9" w:rsidP="00C95229">
            <w:pPr>
              <w:jc w:val="both"/>
              <w:rPr>
                <w:sz w:val="20"/>
                <w:szCs w:val="20"/>
              </w:rPr>
            </w:pPr>
            <w:r>
              <w:rPr>
                <w:sz w:val="20"/>
                <w:szCs w:val="20"/>
              </w:rPr>
              <w:t>33.458</w:t>
            </w:r>
          </w:p>
        </w:tc>
        <w:tc>
          <w:tcPr>
            <w:tcW w:w="1502" w:type="dxa"/>
          </w:tcPr>
          <w:p w14:paraId="51CECEC5" w14:textId="59FEC23F" w:rsidR="00030DA9" w:rsidRPr="00030DA9" w:rsidRDefault="00030DA9" w:rsidP="00C95229">
            <w:pPr>
              <w:jc w:val="both"/>
              <w:rPr>
                <w:sz w:val="20"/>
                <w:szCs w:val="20"/>
              </w:rPr>
            </w:pPr>
            <w:r>
              <w:rPr>
                <w:sz w:val="20"/>
                <w:szCs w:val="20"/>
              </w:rPr>
              <w:t>18.478</w:t>
            </w:r>
          </w:p>
        </w:tc>
        <w:tc>
          <w:tcPr>
            <w:tcW w:w="1502" w:type="dxa"/>
          </w:tcPr>
          <w:p w14:paraId="05DF2A3F" w14:textId="138329B9" w:rsidR="00030DA9" w:rsidRPr="00030DA9" w:rsidRDefault="00030DA9" w:rsidP="00C95229">
            <w:pPr>
              <w:jc w:val="both"/>
              <w:rPr>
                <w:sz w:val="20"/>
                <w:szCs w:val="20"/>
              </w:rPr>
            </w:pPr>
            <w:r>
              <w:rPr>
                <w:sz w:val="20"/>
                <w:szCs w:val="20"/>
              </w:rPr>
              <w:t>-44</w:t>
            </w:r>
          </w:p>
        </w:tc>
      </w:tr>
      <w:tr w:rsidR="00030DA9" w14:paraId="52BF061B" w14:textId="77777777" w:rsidTr="00030DA9">
        <w:tc>
          <w:tcPr>
            <w:tcW w:w="1501" w:type="dxa"/>
          </w:tcPr>
          <w:p w14:paraId="6E1FA1D2" w14:textId="1D85FE5A" w:rsidR="00030DA9" w:rsidRPr="00030DA9" w:rsidRDefault="00030DA9" w:rsidP="00C95229">
            <w:pPr>
              <w:jc w:val="both"/>
              <w:rPr>
                <w:sz w:val="20"/>
                <w:szCs w:val="20"/>
              </w:rPr>
            </w:pPr>
            <w:proofErr w:type="spellStart"/>
            <w:r w:rsidRPr="00030DA9">
              <w:rPr>
                <w:sz w:val="20"/>
                <w:szCs w:val="20"/>
              </w:rPr>
              <w:t>Almanya</w:t>
            </w:r>
            <w:proofErr w:type="spellEnd"/>
          </w:p>
        </w:tc>
        <w:tc>
          <w:tcPr>
            <w:tcW w:w="1501" w:type="dxa"/>
          </w:tcPr>
          <w:p w14:paraId="4E8FD86B" w14:textId="1F3ECF68" w:rsidR="00030DA9" w:rsidRPr="00030DA9" w:rsidRDefault="00030DA9" w:rsidP="00C95229">
            <w:pPr>
              <w:jc w:val="both"/>
              <w:rPr>
                <w:sz w:val="20"/>
                <w:szCs w:val="20"/>
              </w:rPr>
            </w:pPr>
            <w:r>
              <w:rPr>
                <w:sz w:val="20"/>
                <w:szCs w:val="20"/>
              </w:rPr>
              <w:t>DM 4.60</w:t>
            </w:r>
          </w:p>
        </w:tc>
        <w:tc>
          <w:tcPr>
            <w:tcW w:w="1502" w:type="dxa"/>
          </w:tcPr>
          <w:p w14:paraId="7F6E66B2" w14:textId="67893201" w:rsidR="00030DA9" w:rsidRPr="00030DA9" w:rsidRDefault="00030DA9" w:rsidP="00C95229">
            <w:pPr>
              <w:jc w:val="both"/>
              <w:rPr>
                <w:sz w:val="20"/>
                <w:szCs w:val="20"/>
              </w:rPr>
            </w:pPr>
            <w:r>
              <w:rPr>
                <w:sz w:val="20"/>
                <w:szCs w:val="20"/>
              </w:rPr>
              <w:t>92.004</w:t>
            </w:r>
          </w:p>
        </w:tc>
        <w:tc>
          <w:tcPr>
            <w:tcW w:w="1502" w:type="dxa"/>
          </w:tcPr>
          <w:p w14:paraId="4966B519" w14:textId="652E5D80" w:rsidR="00030DA9" w:rsidRPr="00030DA9" w:rsidRDefault="00030DA9" w:rsidP="00C95229">
            <w:pPr>
              <w:jc w:val="both"/>
              <w:rPr>
                <w:sz w:val="20"/>
                <w:szCs w:val="20"/>
              </w:rPr>
            </w:pPr>
            <w:r>
              <w:rPr>
                <w:sz w:val="20"/>
                <w:szCs w:val="20"/>
              </w:rPr>
              <w:t>20.001</w:t>
            </w:r>
          </w:p>
        </w:tc>
        <w:tc>
          <w:tcPr>
            <w:tcW w:w="1502" w:type="dxa"/>
          </w:tcPr>
          <w:p w14:paraId="043E526F" w14:textId="15CB4766" w:rsidR="00030DA9" w:rsidRPr="00030DA9" w:rsidRDefault="00030DA9" w:rsidP="00C95229">
            <w:pPr>
              <w:jc w:val="both"/>
              <w:rPr>
                <w:sz w:val="20"/>
                <w:szCs w:val="20"/>
              </w:rPr>
            </w:pPr>
            <w:r>
              <w:rPr>
                <w:sz w:val="20"/>
                <w:szCs w:val="20"/>
              </w:rPr>
              <w:t>9.239</w:t>
            </w:r>
          </w:p>
        </w:tc>
        <w:tc>
          <w:tcPr>
            <w:tcW w:w="1502" w:type="dxa"/>
          </w:tcPr>
          <w:p w14:paraId="65ED1156" w14:textId="566FF869" w:rsidR="00030DA9" w:rsidRPr="00030DA9" w:rsidRDefault="00030DA9" w:rsidP="00C95229">
            <w:pPr>
              <w:jc w:val="both"/>
              <w:rPr>
                <w:sz w:val="20"/>
                <w:szCs w:val="20"/>
              </w:rPr>
            </w:pPr>
            <w:r>
              <w:rPr>
                <w:sz w:val="20"/>
                <w:szCs w:val="20"/>
              </w:rPr>
              <w:t>-54</w:t>
            </w:r>
          </w:p>
        </w:tc>
      </w:tr>
      <w:tr w:rsidR="00030DA9" w14:paraId="1E3C7D5F" w14:textId="77777777" w:rsidTr="00030DA9">
        <w:tc>
          <w:tcPr>
            <w:tcW w:w="1501" w:type="dxa"/>
          </w:tcPr>
          <w:p w14:paraId="055A08F0" w14:textId="3DB6D51B" w:rsidR="00030DA9" w:rsidRPr="00030DA9" w:rsidRDefault="00030DA9" w:rsidP="00C95229">
            <w:pPr>
              <w:jc w:val="both"/>
              <w:rPr>
                <w:sz w:val="20"/>
                <w:szCs w:val="20"/>
              </w:rPr>
            </w:pPr>
            <w:proofErr w:type="spellStart"/>
            <w:r>
              <w:rPr>
                <w:sz w:val="20"/>
                <w:szCs w:val="20"/>
              </w:rPr>
              <w:t>Fransa</w:t>
            </w:r>
            <w:proofErr w:type="spellEnd"/>
          </w:p>
        </w:tc>
        <w:tc>
          <w:tcPr>
            <w:tcW w:w="1501" w:type="dxa"/>
          </w:tcPr>
          <w:p w14:paraId="6A158B78" w14:textId="65221276" w:rsidR="00030DA9" w:rsidRPr="00030DA9" w:rsidRDefault="00030DA9" w:rsidP="00C95229">
            <w:pPr>
              <w:jc w:val="both"/>
              <w:rPr>
                <w:sz w:val="20"/>
                <w:szCs w:val="20"/>
              </w:rPr>
            </w:pPr>
            <w:r>
              <w:rPr>
                <w:sz w:val="20"/>
                <w:szCs w:val="20"/>
              </w:rPr>
              <w:t>FF 18.50</w:t>
            </w:r>
          </w:p>
        </w:tc>
        <w:tc>
          <w:tcPr>
            <w:tcW w:w="1502" w:type="dxa"/>
          </w:tcPr>
          <w:p w14:paraId="579461D8" w14:textId="0A7AA2A1" w:rsidR="00030DA9" w:rsidRPr="00030DA9" w:rsidRDefault="00030DA9" w:rsidP="00C95229">
            <w:pPr>
              <w:jc w:val="both"/>
              <w:rPr>
                <w:sz w:val="20"/>
                <w:szCs w:val="20"/>
              </w:rPr>
            </w:pPr>
            <w:r>
              <w:rPr>
                <w:sz w:val="20"/>
                <w:szCs w:val="20"/>
              </w:rPr>
              <w:t>99.567</w:t>
            </w:r>
          </w:p>
        </w:tc>
        <w:tc>
          <w:tcPr>
            <w:tcW w:w="1502" w:type="dxa"/>
          </w:tcPr>
          <w:p w14:paraId="727A80D8" w14:textId="7612D8A8" w:rsidR="00030DA9" w:rsidRPr="00030DA9" w:rsidRDefault="00030DA9" w:rsidP="00C95229">
            <w:pPr>
              <w:jc w:val="both"/>
              <w:rPr>
                <w:sz w:val="20"/>
                <w:szCs w:val="20"/>
              </w:rPr>
            </w:pPr>
            <w:r>
              <w:rPr>
                <w:sz w:val="20"/>
                <w:szCs w:val="20"/>
              </w:rPr>
              <w:t>5.382</w:t>
            </w:r>
          </w:p>
        </w:tc>
        <w:tc>
          <w:tcPr>
            <w:tcW w:w="1502" w:type="dxa"/>
          </w:tcPr>
          <w:p w14:paraId="60ADD574" w14:textId="184C6D27" w:rsidR="00030DA9" w:rsidRPr="00030DA9" w:rsidRDefault="00030DA9" w:rsidP="00C95229">
            <w:pPr>
              <w:jc w:val="both"/>
              <w:rPr>
                <w:sz w:val="20"/>
                <w:szCs w:val="20"/>
              </w:rPr>
            </w:pPr>
            <w:r>
              <w:rPr>
                <w:sz w:val="20"/>
                <w:szCs w:val="20"/>
              </w:rPr>
              <w:t>2.297</w:t>
            </w:r>
          </w:p>
        </w:tc>
        <w:tc>
          <w:tcPr>
            <w:tcW w:w="1502" w:type="dxa"/>
          </w:tcPr>
          <w:p w14:paraId="07E2AE11" w14:textId="61531566" w:rsidR="00030DA9" w:rsidRPr="00030DA9" w:rsidRDefault="00030DA9" w:rsidP="00C95229">
            <w:pPr>
              <w:jc w:val="both"/>
              <w:rPr>
                <w:sz w:val="20"/>
                <w:szCs w:val="20"/>
              </w:rPr>
            </w:pPr>
            <w:r>
              <w:rPr>
                <w:sz w:val="20"/>
                <w:szCs w:val="20"/>
              </w:rPr>
              <w:t>-57</w:t>
            </w:r>
          </w:p>
        </w:tc>
      </w:tr>
      <w:tr w:rsidR="00030DA9" w14:paraId="4305D00E" w14:textId="77777777" w:rsidTr="00030DA9">
        <w:tc>
          <w:tcPr>
            <w:tcW w:w="1501" w:type="dxa"/>
          </w:tcPr>
          <w:p w14:paraId="11A26C06" w14:textId="018F1D5C" w:rsidR="00030DA9" w:rsidRPr="00030DA9" w:rsidRDefault="00030DA9" w:rsidP="00C95229">
            <w:pPr>
              <w:jc w:val="both"/>
              <w:rPr>
                <w:sz w:val="20"/>
                <w:szCs w:val="20"/>
              </w:rPr>
            </w:pPr>
            <w:proofErr w:type="spellStart"/>
            <w:r>
              <w:rPr>
                <w:sz w:val="20"/>
                <w:szCs w:val="20"/>
              </w:rPr>
              <w:t>Hollanda</w:t>
            </w:r>
            <w:proofErr w:type="spellEnd"/>
          </w:p>
        </w:tc>
        <w:tc>
          <w:tcPr>
            <w:tcW w:w="1501" w:type="dxa"/>
          </w:tcPr>
          <w:p w14:paraId="1F16D2BC" w14:textId="67E79765" w:rsidR="00030DA9" w:rsidRPr="00030DA9" w:rsidRDefault="00030DA9" w:rsidP="00C95229">
            <w:pPr>
              <w:jc w:val="both"/>
              <w:rPr>
                <w:sz w:val="20"/>
                <w:szCs w:val="20"/>
              </w:rPr>
            </w:pPr>
            <w:r>
              <w:rPr>
                <w:sz w:val="20"/>
                <w:szCs w:val="20"/>
              </w:rPr>
              <w:t>HFL 5.45</w:t>
            </w:r>
          </w:p>
        </w:tc>
        <w:tc>
          <w:tcPr>
            <w:tcW w:w="1502" w:type="dxa"/>
          </w:tcPr>
          <w:p w14:paraId="499F44BF" w14:textId="7BC80695" w:rsidR="00030DA9" w:rsidRPr="00030DA9" w:rsidRDefault="00030DA9" w:rsidP="00C95229">
            <w:pPr>
              <w:jc w:val="both"/>
              <w:rPr>
                <w:sz w:val="20"/>
                <w:szCs w:val="20"/>
              </w:rPr>
            </w:pPr>
            <w:r>
              <w:rPr>
                <w:sz w:val="20"/>
                <w:szCs w:val="20"/>
              </w:rPr>
              <w:t>97.119</w:t>
            </w:r>
          </w:p>
        </w:tc>
        <w:tc>
          <w:tcPr>
            <w:tcW w:w="1502" w:type="dxa"/>
          </w:tcPr>
          <w:p w14:paraId="7E1D340A" w14:textId="3A8BDDD5" w:rsidR="00030DA9" w:rsidRPr="00030DA9" w:rsidRDefault="00030DA9" w:rsidP="00C95229">
            <w:pPr>
              <w:jc w:val="both"/>
              <w:rPr>
                <w:sz w:val="20"/>
                <w:szCs w:val="20"/>
              </w:rPr>
            </w:pPr>
            <w:r>
              <w:rPr>
                <w:sz w:val="20"/>
                <w:szCs w:val="20"/>
              </w:rPr>
              <w:t>17.280</w:t>
            </w:r>
          </w:p>
        </w:tc>
        <w:tc>
          <w:tcPr>
            <w:tcW w:w="1502" w:type="dxa"/>
          </w:tcPr>
          <w:p w14:paraId="41626FF9" w14:textId="1C548C73" w:rsidR="00030DA9" w:rsidRPr="00030DA9" w:rsidRDefault="00030DA9" w:rsidP="00C95229">
            <w:pPr>
              <w:jc w:val="both"/>
              <w:rPr>
                <w:sz w:val="20"/>
                <w:szCs w:val="20"/>
              </w:rPr>
            </w:pPr>
            <w:r>
              <w:rPr>
                <w:sz w:val="20"/>
                <w:szCs w:val="20"/>
              </w:rPr>
              <w:t>7.798</w:t>
            </w:r>
          </w:p>
        </w:tc>
        <w:tc>
          <w:tcPr>
            <w:tcW w:w="1502" w:type="dxa"/>
          </w:tcPr>
          <w:p w14:paraId="786E8589" w14:textId="5E765101" w:rsidR="00030DA9" w:rsidRPr="00030DA9" w:rsidRDefault="00030DA9" w:rsidP="00C95229">
            <w:pPr>
              <w:jc w:val="both"/>
              <w:rPr>
                <w:sz w:val="20"/>
                <w:szCs w:val="20"/>
              </w:rPr>
            </w:pPr>
            <w:r>
              <w:rPr>
                <w:sz w:val="20"/>
                <w:szCs w:val="20"/>
              </w:rPr>
              <w:t>-56</w:t>
            </w:r>
          </w:p>
        </w:tc>
      </w:tr>
      <w:tr w:rsidR="00030DA9" w14:paraId="20966EFC" w14:textId="77777777" w:rsidTr="00030DA9">
        <w:tc>
          <w:tcPr>
            <w:tcW w:w="1501" w:type="dxa"/>
          </w:tcPr>
          <w:p w14:paraId="510B8985" w14:textId="3CFD434B" w:rsidR="00030DA9" w:rsidRPr="00030DA9" w:rsidRDefault="00030DA9" w:rsidP="00C95229">
            <w:pPr>
              <w:jc w:val="both"/>
              <w:rPr>
                <w:sz w:val="20"/>
                <w:szCs w:val="20"/>
              </w:rPr>
            </w:pPr>
            <w:proofErr w:type="spellStart"/>
            <w:r>
              <w:rPr>
                <w:sz w:val="20"/>
                <w:szCs w:val="20"/>
              </w:rPr>
              <w:t>İngiltere</w:t>
            </w:r>
            <w:proofErr w:type="spellEnd"/>
          </w:p>
        </w:tc>
        <w:tc>
          <w:tcPr>
            <w:tcW w:w="1501" w:type="dxa"/>
          </w:tcPr>
          <w:p w14:paraId="42A78464" w14:textId="2F12090D" w:rsidR="00030DA9" w:rsidRPr="00030DA9" w:rsidRDefault="00030DA9" w:rsidP="00C95229">
            <w:pPr>
              <w:jc w:val="both"/>
              <w:rPr>
                <w:sz w:val="20"/>
                <w:szCs w:val="20"/>
              </w:rPr>
            </w:pPr>
            <w:r>
              <w:rPr>
                <w:sz w:val="20"/>
                <w:szCs w:val="20"/>
              </w:rPr>
              <w:t>GBP 1.81</w:t>
            </w:r>
          </w:p>
        </w:tc>
        <w:tc>
          <w:tcPr>
            <w:tcW w:w="1502" w:type="dxa"/>
          </w:tcPr>
          <w:p w14:paraId="2F8EB856" w14:textId="2C43B2CC" w:rsidR="00030DA9" w:rsidRPr="00030DA9" w:rsidRDefault="00030DA9" w:rsidP="00C95229">
            <w:pPr>
              <w:jc w:val="both"/>
              <w:rPr>
                <w:sz w:val="20"/>
                <w:szCs w:val="20"/>
              </w:rPr>
            </w:pPr>
            <w:r>
              <w:rPr>
                <w:sz w:val="20"/>
                <w:szCs w:val="20"/>
              </w:rPr>
              <w:t>90.681</w:t>
            </w:r>
          </w:p>
        </w:tc>
        <w:tc>
          <w:tcPr>
            <w:tcW w:w="1502" w:type="dxa"/>
          </w:tcPr>
          <w:p w14:paraId="11428413" w14:textId="2A2EF954" w:rsidR="00030DA9" w:rsidRPr="00030DA9" w:rsidRDefault="00030DA9" w:rsidP="00C95229">
            <w:pPr>
              <w:jc w:val="both"/>
              <w:rPr>
                <w:sz w:val="20"/>
                <w:szCs w:val="20"/>
              </w:rPr>
            </w:pPr>
            <w:r>
              <w:rPr>
                <w:sz w:val="20"/>
                <w:szCs w:val="20"/>
              </w:rPr>
              <w:t>50.100</w:t>
            </w:r>
          </w:p>
        </w:tc>
        <w:tc>
          <w:tcPr>
            <w:tcW w:w="1502" w:type="dxa"/>
          </w:tcPr>
          <w:p w14:paraId="3FD195A8" w14:textId="47A1AE2F" w:rsidR="00030DA9" w:rsidRPr="00030DA9" w:rsidRDefault="00030DA9" w:rsidP="00C95229">
            <w:pPr>
              <w:jc w:val="both"/>
              <w:rPr>
                <w:sz w:val="20"/>
                <w:szCs w:val="20"/>
              </w:rPr>
            </w:pPr>
            <w:r>
              <w:rPr>
                <w:sz w:val="20"/>
                <w:szCs w:val="20"/>
              </w:rPr>
              <w:t>23.480</w:t>
            </w:r>
          </w:p>
        </w:tc>
        <w:tc>
          <w:tcPr>
            <w:tcW w:w="1502" w:type="dxa"/>
          </w:tcPr>
          <w:p w14:paraId="6667362E" w14:textId="25B95767" w:rsidR="00030DA9" w:rsidRPr="00030DA9" w:rsidRDefault="00030DA9" w:rsidP="00C95229">
            <w:pPr>
              <w:jc w:val="both"/>
              <w:rPr>
                <w:sz w:val="20"/>
                <w:szCs w:val="20"/>
              </w:rPr>
            </w:pPr>
            <w:r>
              <w:rPr>
                <w:sz w:val="20"/>
                <w:szCs w:val="20"/>
              </w:rPr>
              <w:t>-53</w:t>
            </w:r>
          </w:p>
        </w:tc>
      </w:tr>
      <w:tr w:rsidR="00030DA9" w14:paraId="6B1EAF3D" w14:textId="77777777" w:rsidTr="00030DA9">
        <w:tc>
          <w:tcPr>
            <w:tcW w:w="1501" w:type="dxa"/>
          </w:tcPr>
          <w:p w14:paraId="462C7F15" w14:textId="22BC82DE" w:rsidR="00030DA9" w:rsidRPr="00030DA9" w:rsidRDefault="00030DA9" w:rsidP="00C95229">
            <w:pPr>
              <w:jc w:val="both"/>
              <w:rPr>
                <w:sz w:val="20"/>
                <w:szCs w:val="20"/>
              </w:rPr>
            </w:pPr>
            <w:proofErr w:type="spellStart"/>
            <w:r>
              <w:rPr>
                <w:sz w:val="20"/>
                <w:szCs w:val="20"/>
              </w:rPr>
              <w:t>İsviçre</w:t>
            </w:r>
            <w:proofErr w:type="spellEnd"/>
          </w:p>
        </w:tc>
        <w:tc>
          <w:tcPr>
            <w:tcW w:w="1501" w:type="dxa"/>
          </w:tcPr>
          <w:p w14:paraId="341411AF" w14:textId="74F1560F" w:rsidR="00030DA9" w:rsidRPr="00030DA9" w:rsidRDefault="00030DA9" w:rsidP="00C95229">
            <w:pPr>
              <w:jc w:val="both"/>
              <w:rPr>
                <w:sz w:val="20"/>
                <w:szCs w:val="20"/>
              </w:rPr>
            </w:pPr>
            <w:r>
              <w:rPr>
                <w:sz w:val="20"/>
                <w:szCs w:val="20"/>
              </w:rPr>
              <w:t>CHF 5.70</w:t>
            </w:r>
          </w:p>
        </w:tc>
        <w:tc>
          <w:tcPr>
            <w:tcW w:w="1502" w:type="dxa"/>
          </w:tcPr>
          <w:p w14:paraId="00F7443D" w14:textId="189C7AA9" w:rsidR="00030DA9" w:rsidRPr="00030DA9" w:rsidRDefault="00030DA9" w:rsidP="00C95229">
            <w:pPr>
              <w:jc w:val="both"/>
              <w:rPr>
                <w:sz w:val="20"/>
                <w:szCs w:val="20"/>
              </w:rPr>
            </w:pPr>
            <w:r>
              <w:rPr>
                <w:sz w:val="20"/>
                <w:szCs w:val="20"/>
              </w:rPr>
              <w:t>133.596</w:t>
            </w:r>
          </w:p>
        </w:tc>
        <w:tc>
          <w:tcPr>
            <w:tcW w:w="1502" w:type="dxa"/>
          </w:tcPr>
          <w:p w14:paraId="29018D96" w14:textId="76D9F5E8" w:rsidR="00030DA9" w:rsidRPr="00030DA9" w:rsidRDefault="00030DA9" w:rsidP="00C95229">
            <w:pPr>
              <w:jc w:val="both"/>
              <w:rPr>
                <w:sz w:val="20"/>
                <w:szCs w:val="20"/>
              </w:rPr>
            </w:pPr>
            <w:r>
              <w:rPr>
                <w:sz w:val="20"/>
                <w:szCs w:val="20"/>
              </w:rPr>
              <w:t>23.438</w:t>
            </w:r>
          </w:p>
        </w:tc>
        <w:tc>
          <w:tcPr>
            <w:tcW w:w="1502" w:type="dxa"/>
          </w:tcPr>
          <w:p w14:paraId="3BA17A87" w14:textId="1AE0EEDF" w:rsidR="00030DA9" w:rsidRPr="00030DA9" w:rsidRDefault="00030DA9" w:rsidP="00C95229">
            <w:pPr>
              <w:jc w:val="both"/>
              <w:rPr>
                <w:sz w:val="20"/>
                <w:szCs w:val="20"/>
              </w:rPr>
            </w:pPr>
            <w:r>
              <w:rPr>
                <w:sz w:val="20"/>
                <w:szCs w:val="20"/>
              </w:rPr>
              <w:t>7.456</w:t>
            </w:r>
          </w:p>
        </w:tc>
        <w:tc>
          <w:tcPr>
            <w:tcW w:w="1502" w:type="dxa"/>
          </w:tcPr>
          <w:p w14:paraId="3CE65383" w14:textId="1D540486" w:rsidR="00030DA9" w:rsidRPr="00030DA9" w:rsidRDefault="00030DA9" w:rsidP="00C95229">
            <w:pPr>
              <w:jc w:val="both"/>
              <w:rPr>
                <w:sz w:val="20"/>
                <w:szCs w:val="20"/>
              </w:rPr>
            </w:pPr>
            <w:r>
              <w:rPr>
                <w:sz w:val="20"/>
                <w:szCs w:val="20"/>
              </w:rPr>
              <w:t>-68</w:t>
            </w:r>
          </w:p>
        </w:tc>
      </w:tr>
    </w:tbl>
    <w:p w14:paraId="49D9AC29" w14:textId="58DD33C5" w:rsidR="007E5F7E" w:rsidRDefault="007E5F7E" w:rsidP="007E5F7E">
      <w:pPr>
        <w:jc w:val="both"/>
        <w:rPr>
          <w:b/>
          <w:sz w:val="28"/>
        </w:rPr>
      </w:pPr>
    </w:p>
    <w:p w14:paraId="3EAE8FF0" w14:textId="77777777" w:rsidR="007E5F7E" w:rsidRDefault="007E5F7E" w:rsidP="007E5F7E">
      <w:pPr>
        <w:jc w:val="both"/>
        <w:rPr>
          <w:b/>
          <w:sz w:val="28"/>
        </w:rPr>
      </w:pPr>
    </w:p>
    <w:p w14:paraId="49D4CB5F" w14:textId="77777777" w:rsidR="007E5F7E" w:rsidRDefault="007E5F7E" w:rsidP="007E5F7E">
      <w:pPr>
        <w:jc w:val="both"/>
        <w:rPr>
          <w:sz w:val="28"/>
        </w:rPr>
      </w:pPr>
    </w:p>
    <w:p w14:paraId="038AC58B" w14:textId="77777777" w:rsidR="007E5F7E" w:rsidRDefault="007E5F7E" w:rsidP="007E5F7E">
      <w:pPr>
        <w:jc w:val="both"/>
        <w:rPr>
          <w:sz w:val="28"/>
        </w:rPr>
      </w:pPr>
      <w:r>
        <w:rPr>
          <w:sz w:val="28"/>
        </w:rPr>
        <w:tab/>
        <w:t xml:space="preserve">Bu tablodan çıkan sonuçlara göre Big Mac endeksine göre TL sı yabancı paralar karşısında aşırı değer yitirmiştir . Doların PPP ye göre kuru 18.478 lira olması gerekirken 33.458 liradır . Yani TL sı dolara karşı % 44 oranında eksik değerli , diğer bir deyişle de Dolar TL sına karşı aşırı değerlidir . Aynı çıkarsamalar diğer döviz cinsleri için de geçerlidir . PPP ye göre en fazla fark İsviçre Frangına karşıdır . ABD Dolarını esas alan orjinal tabloda da CHF en aşırı değerlenmiş (%72) para konumundadır . </w:t>
      </w:r>
    </w:p>
    <w:p w14:paraId="7DC92AA7" w14:textId="77777777" w:rsidR="007E5F7E" w:rsidRDefault="007E5F7E" w:rsidP="007E5F7E">
      <w:pPr>
        <w:jc w:val="both"/>
        <w:rPr>
          <w:sz w:val="28"/>
        </w:rPr>
      </w:pPr>
    </w:p>
    <w:p w14:paraId="29763B9C" w14:textId="1B76FFD4" w:rsidR="007E5F7E" w:rsidRDefault="007E5F7E" w:rsidP="007E5F7E">
      <w:pPr>
        <w:jc w:val="both"/>
        <w:rPr>
          <w:sz w:val="28"/>
        </w:rPr>
      </w:pPr>
      <w:r>
        <w:rPr>
          <w:sz w:val="28"/>
        </w:rPr>
        <w:tab/>
        <w:t>Bu tabloda çıkan bir kaç sonuç var . PPP hesaplamaların bütünüyle güvenmek yanlış olabilir . Başlangıç noktası ö</w:t>
      </w:r>
      <w:r w:rsidR="00957ED0">
        <w:rPr>
          <w:sz w:val="28"/>
          <w:lang w:val="tr-TR"/>
        </w:rPr>
        <w:t>n</w:t>
      </w:r>
      <w:r>
        <w:rPr>
          <w:sz w:val="28"/>
        </w:rPr>
        <w:t>emlidir . PPP Teoremine göre belirli bir zaman süresi içinde kurlar dengeye gelir. Kurların dengeye gelmesinin tek yolu cari kambiyo kurlarındaki değişiklik değildir . Diğer bir denge mekanizması içerideki enflasyon oranıdır. Bu farklılıklar bir başka açıdan bakıldığında içerideki enflasyonun gelecekte</w:t>
      </w:r>
      <w:r w:rsidR="00957ED0">
        <w:rPr>
          <w:sz w:val="28"/>
          <w:lang w:val="tr-TR"/>
        </w:rPr>
        <w:t>ki</w:t>
      </w:r>
      <w:r>
        <w:rPr>
          <w:sz w:val="28"/>
        </w:rPr>
        <w:t xml:space="preserve"> hızı konusunda da bir fikir verebilir. Yani bir başka deyişle eşitleme mekanizması TL /$ kurunun 18.478 TL olması değil Big Mac fiyatının 76 bin, 90 bin gibi düzeylere doğru tırmanmaya başlamasıdır . Yani içerideki enflasyonun hızlanmasıdır . Yada mekanizma her iki yönde de işler . </w:t>
      </w:r>
    </w:p>
    <w:p w14:paraId="37D99BBA" w14:textId="77777777" w:rsidR="007E5F7E" w:rsidRDefault="007E5F7E" w:rsidP="007E5F7E">
      <w:pPr>
        <w:jc w:val="both"/>
        <w:rPr>
          <w:sz w:val="28"/>
        </w:rPr>
      </w:pPr>
    </w:p>
    <w:p w14:paraId="3237F00F" w14:textId="77777777" w:rsidR="007E5F7E" w:rsidRDefault="007E5F7E" w:rsidP="007E5F7E">
      <w:pPr>
        <w:jc w:val="both"/>
        <w:rPr>
          <w:sz w:val="28"/>
        </w:rPr>
      </w:pPr>
      <w:r>
        <w:rPr>
          <w:sz w:val="28"/>
        </w:rPr>
        <w:tab/>
        <w:t>Döviz kurlarının faiz ile baskı altına alındığı bu günlerin , ekonomik dengeler ve fiyatlarda yeni sıçramaları bünyesinde biriktirdiği  gerçeğine hazırlıklı olmalıyız.</w:t>
      </w:r>
    </w:p>
    <w:p w14:paraId="27013FD9" w14:textId="77777777" w:rsidR="007E5F7E" w:rsidRDefault="007E5F7E" w:rsidP="007E5F7E">
      <w:pPr>
        <w:jc w:val="both"/>
        <w:rPr>
          <w:b/>
          <w:i/>
          <w:sz w:val="28"/>
        </w:rPr>
      </w:pPr>
    </w:p>
    <w:p w14:paraId="75FB3DD9" w14:textId="77777777" w:rsidR="007E5F7E" w:rsidRDefault="007E5F7E" w:rsidP="007E5F7E">
      <w:pPr>
        <w:jc w:val="both"/>
        <w:rPr>
          <w:sz w:val="28"/>
        </w:rPr>
      </w:pPr>
    </w:p>
    <w:p w14:paraId="42809BC1" w14:textId="3F4128AE" w:rsidR="007E5F7E" w:rsidRPr="00957ED0" w:rsidRDefault="007E5F7E" w:rsidP="007E5F7E">
      <w:pPr>
        <w:jc w:val="both"/>
        <w:rPr>
          <w:b/>
          <w:bCs/>
          <w:i/>
          <w:sz w:val="28"/>
        </w:rPr>
      </w:pPr>
      <w:r w:rsidRPr="00957ED0">
        <w:rPr>
          <w:b/>
          <w:bCs/>
          <w:i/>
          <w:sz w:val="28"/>
        </w:rPr>
        <w:t>( Dünya 18 Mayıs 1994 )</w:t>
      </w:r>
    </w:p>
    <w:p w14:paraId="5AE40092" w14:textId="77777777" w:rsidR="007E5F7E" w:rsidRDefault="007E5F7E" w:rsidP="007E5F7E">
      <w:pPr>
        <w:jc w:val="both"/>
        <w:rPr>
          <w:i/>
          <w:sz w:val="28"/>
        </w:rPr>
      </w:pPr>
    </w:p>
    <w:p w14:paraId="28136B0D" w14:textId="41C26BAF" w:rsidR="007E5F7E" w:rsidRPr="00F7013F" w:rsidRDefault="007E5F7E" w:rsidP="007E5F7E">
      <w:pPr>
        <w:rPr>
          <w:lang w:val="tr-TR"/>
        </w:rPr>
      </w:pPr>
    </w:p>
    <w:sectPr w:rsidR="007E5F7E" w:rsidRPr="00F7013F" w:rsidSect="00AA20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030DA9"/>
    <w:rsid w:val="007E5F7E"/>
    <w:rsid w:val="00957ED0"/>
    <w:rsid w:val="00AA201A"/>
    <w:rsid w:val="00C95229"/>
    <w:rsid w:val="00F701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F7E"/>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3</cp:revision>
  <dcterms:created xsi:type="dcterms:W3CDTF">2020-03-07T20:29:00Z</dcterms:created>
  <dcterms:modified xsi:type="dcterms:W3CDTF">2020-03-25T08:18:00Z</dcterms:modified>
</cp:coreProperties>
</file>