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C60" w:rsidRPr="00DC6C60" w:rsidRDefault="00DC6C60" w:rsidP="00DC6C60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DC6C60">
        <w:rPr>
          <w:rFonts w:ascii="Times New Roman" w:hAnsi="Times New Roman" w:cs="Times New Roman"/>
          <w:b/>
          <w:bCs/>
          <w:lang w:val="tr-TR"/>
        </w:rPr>
        <w:t>ULUSLARARASI FİNANS YÖNETİMİ</w:t>
      </w:r>
    </w:p>
    <w:p w:rsidR="0003492E" w:rsidRPr="00DC6C60" w:rsidRDefault="00DC6C60" w:rsidP="0003492E">
      <w:pPr>
        <w:rPr>
          <w:rFonts w:ascii="Times New Roman" w:hAnsi="Times New Roman" w:cs="Times New Roman"/>
          <w:b/>
          <w:bCs/>
          <w:lang w:val="tr-TR"/>
        </w:rPr>
      </w:pPr>
      <w:r w:rsidRPr="00DC6C60">
        <w:rPr>
          <w:rFonts w:ascii="Times New Roman" w:hAnsi="Times New Roman" w:cs="Times New Roman"/>
          <w:b/>
          <w:bCs/>
          <w:lang w:val="tr-TR"/>
        </w:rPr>
        <w:t>Bölüm 11 EKİ</w:t>
      </w:r>
    </w:p>
    <w:p w:rsidR="0003492E" w:rsidRPr="00DC6C60" w:rsidRDefault="0003492E" w:rsidP="0003492E">
      <w:pPr>
        <w:rPr>
          <w:rFonts w:ascii="Times New Roman" w:hAnsi="Times New Roman" w:cs="Times New Roman"/>
          <w:b/>
          <w:bCs/>
        </w:rPr>
      </w:pPr>
    </w:p>
    <w:p w:rsidR="00D268D5" w:rsidRDefault="00D268D5" w:rsidP="00136B23">
      <w:pPr>
        <w:tabs>
          <w:tab w:val="left" w:pos="2638"/>
        </w:tabs>
        <w:rPr>
          <w:lang w:val="tr-TR"/>
        </w:rPr>
      </w:pPr>
      <w:r>
        <w:rPr>
          <w:lang w:val="tr-TR"/>
        </w:rPr>
        <w:t>GLOBAL 2000</w:t>
      </w:r>
    </w:p>
    <w:p w:rsidR="0003492E" w:rsidRDefault="004D293D" w:rsidP="00136B23">
      <w:pPr>
        <w:tabs>
          <w:tab w:val="left" w:pos="2638"/>
        </w:tabs>
        <w:rPr>
          <w:lang w:val="tr-TR"/>
        </w:rPr>
      </w:pPr>
      <w:r>
        <w:rPr>
          <w:lang w:val="tr-TR"/>
        </w:rPr>
        <w:t>FORBES 2019 WORLD’S LARGEST PUBLİC COMPANİES</w:t>
      </w:r>
    </w:p>
    <w:p w:rsidR="00136B23" w:rsidRDefault="00136B23" w:rsidP="00136B23">
      <w:pPr>
        <w:tabs>
          <w:tab w:val="left" w:pos="2638"/>
        </w:tabs>
      </w:pPr>
    </w:p>
    <w:p w:rsidR="00136B23" w:rsidRPr="004D293D" w:rsidRDefault="00136B23" w:rsidP="00136B23">
      <w:pPr>
        <w:tabs>
          <w:tab w:val="left" w:pos="2638"/>
        </w:tabs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012"/>
        <w:gridCol w:w="1410"/>
      </w:tblGrid>
      <w:tr w:rsidR="00136B23" w:rsidTr="0003492E">
        <w:tc>
          <w:tcPr>
            <w:tcW w:w="704" w:type="dxa"/>
          </w:tcPr>
          <w:p w:rsidR="00136B23" w:rsidRPr="004D293D" w:rsidRDefault="00136B23" w:rsidP="0003492E">
            <w:pPr>
              <w:tabs>
                <w:tab w:val="left" w:pos="2638"/>
              </w:tabs>
              <w:rPr>
                <w:b/>
                <w:bCs/>
                <w:lang w:val="tr-TR"/>
              </w:rPr>
            </w:pPr>
            <w:r w:rsidRPr="004D293D">
              <w:rPr>
                <w:b/>
                <w:bCs/>
                <w:lang w:val="tr-TR"/>
              </w:rPr>
              <w:t>Sıra</w:t>
            </w:r>
          </w:p>
        </w:tc>
        <w:tc>
          <w:tcPr>
            <w:tcW w:w="2012" w:type="dxa"/>
          </w:tcPr>
          <w:p w:rsidR="00136B23" w:rsidRPr="004D293D" w:rsidRDefault="00136B23" w:rsidP="0003492E">
            <w:pPr>
              <w:tabs>
                <w:tab w:val="left" w:pos="2638"/>
              </w:tabs>
              <w:rPr>
                <w:b/>
                <w:bCs/>
                <w:lang w:val="tr-TR"/>
              </w:rPr>
            </w:pPr>
            <w:r w:rsidRPr="004D293D">
              <w:rPr>
                <w:b/>
                <w:bCs/>
                <w:lang w:val="tr-TR"/>
              </w:rPr>
              <w:t>Şirket</w:t>
            </w:r>
          </w:p>
        </w:tc>
        <w:tc>
          <w:tcPr>
            <w:tcW w:w="1410" w:type="dxa"/>
          </w:tcPr>
          <w:p w:rsidR="00136B23" w:rsidRPr="004D293D" w:rsidRDefault="00136B23" w:rsidP="0003492E">
            <w:pPr>
              <w:tabs>
                <w:tab w:val="left" w:pos="2638"/>
              </w:tabs>
              <w:rPr>
                <w:b/>
                <w:bCs/>
                <w:lang w:val="tr-TR"/>
              </w:rPr>
            </w:pPr>
            <w:r w:rsidRPr="004D293D">
              <w:rPr>
                <w:b/>
                <w:bCs/>
                <w:lang w:val="tr-TR"/>
              </w:rPr>
              <w:t>Ülke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012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ICBC</w:t>
            </w:r>
          </w:p>
        </w:tc>
        <w:tc>
          <w:tcPr>
            <w:tcW w:w="1410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Çin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012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JP Morgan Chase</w:t>
            </w:r>
          </w:p>
        </w:tc>
        <w:tc>
          <w:tcPr>
            <w:tcW w:w="1410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</w:p>
        </w:tc>
        <w:tc>
          <w:tcPr>
            <w:tcW w:w="2012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China</w:t>
            </w:r>
            <w:proofErr w:type="spellEnd"/>
            <w:r>
              <w:rPr>
                <w:lang w:val="tr-TR"/>
              </w:rPr>
              <w:t xml:space="preserve"> Construction Bank</w:t>
            </w:r>
          </w:p>
        </w:tc>
        <w:tc>
          <w:tcPr>
            <w:tcW w:w="1410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Çin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012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Agricultural</w:t>
            </w:r>
            <w:proofErr w:type="spellEnd"/>
            <w:r>
              <w:rPr>
                <w:lang w:val="tr-TR"/>
              </w:rPr>
              <w:t xml:space="preserve"> Bank of </w:t>
            </w:r>
            <w:proofErr w:type="spellStart"/>
            <w:r>
              <w:rPr>
                <w:lang w:val="tr-TR"/>
              </w:rPr>
              <w:t>China</w:t>
            </w:r>
            <w:proofErr w:type="spellEnd"/>
          </w:p>
        </w:tc>
        <w:tc>
          <w:tcPr>
            <w:tcW w:w="1410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Çin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2012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 xml:space="preserve">Bank of </w:t>
            </w:r>
            <w:proofErr w:type="spellStart"/>
            <w:r>
              <w:rPr>
                <w:lang w:val="tr-TR"/>
              </w:rPr>
              <w:t>America</w:t>
            </w:r>
            <w:proofErr w:type="spellEnd"/>
          </w:p>
        </w:tc>
        <w:tc>
          <w:tcPr>
            <w:tcW w:w="1410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2012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Apple</w:t>
            </w:r>
          </w:p>
        </w:tc>
        <w:tc>
          <w:tcPr>
            <w:tcW w:w="1410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2012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Ping</w:t>
            </w:r>
            <w:proofErr w:type="spellEnd"/>
            <w:r>
              <w:rPr>
                <w:lang w:val="tr-TR"/>
              </w:rPr>
              <w:t xml:space="preserve"> An </w:t>
            </w:r>
            <w:proofErr w:type="spellStart"/>
            <w:r>
              <w:rPr>
                <w:lang w:val="tr-TR"/>
              </w:rPr>
              <w:t>Insurance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Group</w:t>
            </w:r>
            <w:proofErr w:type="spellEnd"/>
          </w:p>
        </w:tc>
        <w:tc>
          <w:tcPr>
            <w:tcW w:w="1410" w:type="dxa"/>
          </w:tcPr>
          <w:p w:rsidR="00136B23" w:rsidRPr="0003492E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Çin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 xml:space="preserve">Bank of </w:t>
            </w:r>
            <w:proofErr w:type="spellStart"/>
            <w:r>
              <w:rPr>
                <w:lang w:val="tr-TR"/>
              </w:rPr>
              <w:t>China</w:t>
            </w:r>
            <w:proofErr w:type="spellEnd"/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Çin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Royal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Dutch</w:t>
            </w:r>
            <w:proofErr w:type="spellEnd"/>
            <w:r>
              <w:rPr>
                <w:lang w:val="tr-TR"/>
              </w:rPr>
              <w:t xml:space="preserve"> Shell</w:t>
            </w:r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Hollanda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Wells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Fargo</w:t>
            </w:r>
            <w:proofErr w:type="spellEnd"/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11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Exxon</w:t>
            </w:r>
            <w:proofErr w:type="spellEnd"/>
            <w:r>
              <w:rPr>
                <w:lang w:val="tr-TR"/>
              </w:rPr>
              <w:t xml:space="preserve"> Mobil</w:t>
            </w:r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12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AT&amp;T</w:t>
            </w:r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13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Samsung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Electronics</w:t>
            </w:r>
            <w:proofErr w:type="spellEnd"/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Güney Kore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14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Citigrup</w:t>
            </w:r>
            <w:proofErr w:type="spellEnd"/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15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Toyota</w:t>
            </w:r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Japonya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16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Microsoft</w:t>
            </w:r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17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Alphabet</w:t>
            </w:r>
            <w:proofErr w:type="spellEnd"/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18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Volkswagen Grup</w:t>
            </w:r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Almanya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19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Chevron</w:t>
            </w:r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</w:tr>
      <w:tr w:rsidR="00136B23" w:rsidTr="0003492E">
        <w:tc>
          <w:tcPr>
            <w:tcW w:w="704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20</w:t>
            </w:r>
          </w:p>
        </w:tc>
        <w:tc>
          <w:tcPr>
            <w:tcW w:w="2012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Verizon</w:t>
            </w:r>
            <w:proofErr w:type="spellEnd"/>
          </w:p>
        </w:tc>
        <w:tc>
          <w:tcPr>
            <w:tcW w:w="1410" w:type="dxa"/>
          </w:tcPr>
          <w:p w:rsidR="00136B23" w:rsidRDefault="00136B23" w:rsidP="0003492E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</w:tr>
    </w:tbl>
    <w:p w:rsidR="0003492E" w:rsidRDefault="0003492E" w:rsidP="0003492E">
      <w:pPr>
        <w:tabs>
          <w:tab w:val="left" w:pos="2638"/>
        </w:tabs>
      </w:pPr>
    </w:p>
    <w:p w:rsidR="004D293D" w:rsidRDefault="004D293D" w:rsidP="0003492E">
      <w:pPr>
        <w:tabs>
          <w:tab w:val="left" w:pos="2638"/>
        </w:tabs>
        <w:rPr>
          <w:lang w:val="tr-TR"/>
        </w:rPr>
      </w:pPr>
      <w:r>
        <w:rPr>
          <w:lang w:val="tr-TR"/>
        </w:rPr>
        <w:t xml:space="preserve">İlk 10 içerisinde Çinin “Dört Büyük </w:t>
      </w:r>
      <w:proofErr w:type="spellStart"/>
      <w:r>
        <w:rPr>
          <w:lang w:val="tr-TR"/>
        </w:rPr>
        <w:t>Banka”sı</w:t>
      </w:r>
      <w:proofErr w:type="spellEnd"/>
      <w:r>
        <w:rPr>
          <w:lang w:val="tr-TR"/>
        </w:rPr>
        <w:t xml:space="preserve"> yer almaktadır. Yine 3 büyük ABD Bankası da ilk 10 içerisindedir. Böylece ilk 10 kuruluşun 7 tanesi bankadır. Diğer üçü ise bir petrol şirketi, bir sigorta şirketi ve bir teknoloji şirketidir. </w:t>
      </w:r>
    </w:p>
    <w:p w:rsidR="004D293D" w:rsidRDefault="004D293D" w:rsidP="0003492E">
      <w:pPr>
        <w:tabs>
          <w:tab w:val="left" w:pos="2638"/>
        </w:tabs>
        <w:rPr>
          <w:lang w:val="tr-TR"/>
        </w:rPr>
      </w:pPr>
    </w:p>
    <w:p w:rsidR="004D293D" w:rsidRDefault="004D293D" w:rsidP="0003492E">
      <w:pPr>
        <w:tabs>
          <w:tab w:val="left" w:pos="2638"/>
        </w:tabs>
        <w:rPr>
          <w:lang w:val="tr-TR"/>
        </w:rPr>
      </w:pPr>
      <w:r>
        <w:rPr>
          <w:lang w:val="tr-TR"/>
        </w:rPr>
        <w:t xml:space="preserve">İlk 20 içerisinde </w:t>
      </w:r>
      <w:r w:rsidR="00D268D5">
        <w:rPr>
          <w:lang w:val="tr-TR"/>
        </w:rPr>
        <w:t xml:space="preserve">8 banka grubu, 3 petrol, 2 </w:t>
      </w:r>
      <w:proofErr w:type="gramStart"/>
      <w:r w:rsidR="00D268D5">
        <w:rPr>
          <w:lang w:val="tr-TR"/>
        </w:rPr>
        <w:t>otomotiv ,</w:t>
      </w:r>
      <w:proofErr w:type="gramEnd"/>
      <w:r w:rsidR="00D268D5">
        <w:rPr>
          <w:lang w:val="tr-TR"/>
        </w:rPr>
        <w:t xml:space="preserve"> 4 bilgi işlem ve teknoloji , 1 sigorta grubu yer almaktadır.</w:t>
      </w:r>
    </w:p>
    <w:p w:rsidR="004D293D" w:rsidRDefault="004D293D" w:rsidP="0003492E">
      <w:pPr>
        <w:tabs>
          <w:tab w:val="left" w:pos="2638"/>
        </w:tabs>
        <w:rPr>
          <w:lang w:val="tr-TR"/>
        </w:rPr>
      </w:pPr>
    </w:p>
    <w:p w:rsidR="004D293D" w:rsidRDefault="004D293D" w:rsidP="0003492E">
      <w:pPr>
        <w:tabs>
          <w:tab w:val="left" w:pos="2638"/>
        </w:tabs>
        <w:rPr>
          <w:lang w:val="tr-TR"/>
        </w:rPr>
      </w:pPr>
      <w:r>
        <w:rPr>
          <w:lang w:val="tr-TR"/>
        </w:rPr>
        <w:t xml:space="preserve">İlk 10 içinde 5 Çin, 4 ABD ve 1 Hollanda şirketi yer almaktadır. İlk 20 de ise 11 </w:t>
      </w:r>
      <w:proofErr w:type="gramStart"/>
      <w:r>
        <w:rPr>
          <w:lang w:val="tr-TR"/>
        </w:rPr>
        <w:t>ABD,  5</w:t>
      </w:r>
      <w:proofErr w:type="gramEnd"/>
      <w:r>
        <w:rPr>
          <w:lang w:val="tr-TR"/>
        </w:rPr>
        <w:t xml:space="preserve"> Çin, 1 er şirketle Almanya , Güney Kore, Hollanda, Japonya yer almaktadır.  </w:t>
      </w:r>
    </w:p>
    <w:p w:rsidR="00D268D5" w:rsidRDefault="00D268D5" w:rsidP="0003492E">
      <w:pPr>
        <w:tabs>
          <w:tab w:val="left" w:pos="2638"/>
        </w:tabs>
        <w:rPr>
          <w:lang w:val="tr-TR"/>
        </w:rPr>
      </w:pPr>
    </w:p>
    <w:p w:rsidR="00D268D5" w:rsidRDefault="00D268D5" w:rsidP="0003492E">
      <w:pPr>
        <w:tabs>
          <w:tab w:val="left" w:pos="2638"/>
        </w:tabs>
        <w:rPr>
          <w:lang w:val="tr-TR"/>
        </w:rPr>
      </w:pPr>
    </w:p>
    <w:p w:rsidR="00D268D5" w:rsidRDefault="00D268D5" w:rsidP="0003492E">
      <w:pPr>
        <w:tabs>
          <w:tab w:val="left" w:pos="2638"/>
        </w:tabs>
        <w:rPr>
          <w:lang w:val="tr-TR"/>
        </w:rPr>
      </w:pPr>
      <w:r>
        <w:rPr>
          <w:lang w:val="tr-TR"/>
        </w:rPr>
        <w:t xml:space="preserve">Listede 61 ülkenin şirketi bulunmaktadır. </w:t>
      </w:r>
      <w:proofErr w:type="spellStart"/>
      <w:r>
        <w:rPr>
          <w:lang w:val="tr-TR"/>
        </w:rPr>
        <w:t>ABD’inin</w:t>
      </w:r>
      <w:proofErr w:type="spellEnd"/>
      <w:r>
        <w:rPr>
          <w:lang w:val="tr-TR"/>
        </w:rPr>
        <w:t xml:space="preserve"> 575, Çin ve Hong Kong’un 309 şirketi </w:t>
      </w:r>
      <w:proofErr w:type="spellStart"/>
      <w:r>
        <w:rPr>
          <w:lang w:val="tr-TR"/>
        </w:rPr>
        <w:t>listedieyer</w:t>
      </w:r>
      <w:proofErr w:type="spellEnd"/>
      <w:r>
        <w:rPr>
          <w:lang w:val="tr-TR"/>
        </w:rPr>
        <w:t xml:space="preserve"> almaktadır. Listedeki Japon şirketi sayısı 223’tür. 2003’de yayımlanan ilk listede ABD’nin 776 şirketi ile Çin ve Hong Kong’un 43 şirketi vardır.</w:t>
      </w:r>
    </w:p>
    <w:p w:rsidR="00D268D5" w:rsidRDefault="00D268D5" w:rsidP="0003492E">
      <w:pPr>
        <w:tabs>
          <w:tab w:val="left" w:pos="2638"/>
        </w:tabs>
        <w:rPr>
          <w:lang w:val="tr-TR"/>
        </w:rPr>
      </w:pPr>
    </w:p>
    <w:p w:rsidR="00655A6D" w:rsidRDefault="00D268D5" w:rsidP="0003492E">
      <w:pPr>
        <w:tabs>
          <w:tab w:val="left" w:pos="2638"/>
        </w:tabs>
        <w:rPr>
          <w:lang w:val="tr-TR"/>
        </w:rPr>
      </w:pPr>
      <w:r>
        <w:rPr>
          <w:lang w:val="tr-TR"/>
        </w:rPr>
        <w:t>Türkiye</w:t>
      </w:r>
      <w:r w:rsidR="00655A6D">
        <w:rPr>
          <w:lang w:val="tr-TR"/>
        </w:rPr>
        <w:t xml:space="preserve">’den </w:t>
      </w:r>
      <w:proofErr w:type="gramStart"/>
      <w:r>
        <w:rPr>
          <w:lang w:val="tr-TR"/>
        </w:rPr>
        <w:t>Listeye</w:t>
      </w:r>
      <w:r w:rsidR="00655A6D">
        <w:rPr>
          <w:lang w:val="tr-TR"/>
        </w:rPr>
        <w:t xml:space="preserve">  8</w:t>
      </w:r>
      <w:proofErr w:type="gramEnd"/>
      <w:r w:rsidR="00655A6D">
        <w:rPr>
          <w:lang w:val="tr-TR"/>
        </w:rPr>
        <w:t xml:space="preserve"> şirket dahil edilmiştir. Bunlar ve sıralamadaki yerleri;</w:t>
      </w:r>
    </w:p>
    <w:p w:rsidR="00655A6D" w:rsidRDefault="00655A6D" w:rsidP="0003492E">
      <w:pPr>
        <w:tabs>
          <w:tab w:val="left" w:pos="2638"/>
        </w:tabs>
        <w:rPr>
          <w:lang w:val="tr-TR"/>
        </w:rPr>
      </w:pPr>
    </w:p>
    <w:p w:rsidR="005C0A32" w:rsidRDefault="005C0A32" w:rsidP="005C0A32">
      <w:pPr>
        <w:tabs>
          <w:tab w:val="left" w:pos="2638"/>
        </w:tabs>
        <w:rPr>
          <w:lang w:val="tr-TR"/>
        </w:rPr>
      </w:pPr>
      <w:r>
        <w:rPr>
          <w:lang w:val="tr-TR"/>
        </w:rPr>
        <w:t xml:space="preserve">663. T. İş Bankası </w:t>
      </w:r>
    </w:p>
    <w:p w:rsidR="005C0A32" w:rsidRDefault="005C0A32" w:rsidP="005C0A32">
      <w:pPr>
        <w:tabs>
          <w:tab w:val="left" w:pos="2638"/>
        </w:tabs>
        <w:rPr>
          <w:lang w:val="tr-TR"/>
        </w:rPr>
      </w:pPr>
      <w:r>
        <w:rPr>
          <w:lang w:val="tr-TR"/>
        </w:rPr>
        <w:t>744. Koç Holding</w:t>
      </w:r>
    </w:p>
    <w:p w:rsidR="005C0A32" w:rsidRDefault="005C0A32" w:rsidP="005C0A32">
      <w:pPr>
        <w:tabs>
          <w:tab w:val="left" w:pos="2638"/>
        </w:tabs>
        <w:rPr>
          <w:lang w:val="tr-TR"/>
        </w:rPr>
      </w:pPr>
      <w:r>
        <w:rPr>
          <w:lang w:val="tr-TR"/>
        </w:rPr>
        <w:t>777.  Garanti Bankası</w:t>
      </w:r>
    </w:p>
    <w:p w:rsidR="005C0A32" w:rsidRDefault="005C0A32" w:rsidP="005C0A32">
      <w:pPr>
        <w:tabs>
          <w:tab w:val="left" w:pos="2638"/>
        </w:tabs>
        <w:rPr>
          <w:lang w:val="tr-TR"/>
        </w:rPr>
      </w:pPr>
      <w:r>
        <w:rPr>
          <w:lang w:val="tr-TR"/>
        </w:rPr>
        <w:t>849. Sabancı Holding</w:t>
      </w:r>
    </w:p>
    <w:p w:rsidR="005C0A32" w:rsidRDefault="005C0A32" w:rsidP="005C0A32">
      <w:pPr>
        <w:tabs>
          <w:tab w:val="left" w:pos="2638"/>
        </w:tabs>
        <w:rPr>
          <w:lang w:val="tr-TR"/>
        </w:rPr>
      </w:pPr>
      <w:r>
        <w:rPr>
          <w:lang w:val="tr-TR"/>
        </w:rPr>
        <w:t>896.  T. Halk Bankası</w:t>
      </w:r>
    </w:p>
    <w:p w:rsidR="005C0A32" w:rsidRDefault="005C0A32" w:rsidP="005C0A32">
      <w:pPr>
        <w:tabs>
          <w:tab w:val="left" w:pos="2638"/>
        </w:tabs>
        <w:rPr>
          <w:lang w:val="tr-TR"/>
        </w:rPr>
      </w:pPr>
      <w:r>
        <w:rPr>
          <w:lang w:val="tr-TR"/>
        </w:rPr>
        <w:t>908.  T. Vakıflar Bankası</w:t>
      </w:r>
    </w:p>
    <w:p w:rsidR="005C0A32" w:rsidRDefault="005C0A32" w:rsidP="005C0A32">
      <w:pPr>
        <w:tabs>
          <w:tab w:val="left" w:pos="2638"/>
        </w:tabs>
        <w:rPr>
          <w:lang w:val="tr-TR"/>
        </w:rPr>
      </w:pPr>
      <w:r>
        <w:rPr>
          <w:lang w:val="tr-TR"/>
        </w:rPr>
        <w:t>1034. Türk Hava Yolları</w:t>
      </w:r>
    </w:p>
    <w:p w:rsidR="005C0A32" w:rsidRDefault="005C0A32" w:rsidP="005C0A32">
      <w:pPr>
        <w:tabs>
          <w:tab w:val="left" w:pos="2638"/>
        </w:tabs>
        <w:rPr>
          <w:lang w:val="tr-TR"/>
        </w:rPr>
      </w:pPr>
      <w:r>
        <w:rPr>
          <w:lang w:val="tr-TR"/>
        </w:rPr>
        <w:t>1661.  Erdemir</w:t>
      </w: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Pr="005C0A32" w:rsidRDefault="005C0A32" w:rsidP="005C0A32">
      <w:pPr>
        <w:rPr>
          <w:lang w:val="tr-TR"/>
        </w:rPr>
      </w:pPr>
      <w:r>
        <w:rPr>
          <w:lang w:val="tr-TR"/>
        </w:rPr>
        <w:br w:type="page"/>
      </w:r>
      <w:r w:rsidRPr="008244C8">
        <w:rPr>
          <w:b/>
          <w:bCs/>
          <w:sz w:val="28"/>
          <w:szCs w:val="28"/>
          <w:lang w:val="tr-TR"/>
        </w:rPr>
        <w:lastRenderedPageBreak/>
        <w:t>FORTUNE GLOBAL 500</w:t>
      </w:r>
      <w:r w:rsidR="004C5879">
        <w:rPr>
          <w:b/>
          <w:bCs/>
          <w:sz w:val="28"/>
          <w:szCs w:val="28"/>
          <w:lang w:val="tr-TR"/>
        </w:rPr>
        <w:t>, 2019</w:t>
      </w:r>
    </w:p>
    <w:p w:rsidR="005C0A32" w:rsidRPr="004D293D" w:rsidRDefault="005C0A32" w:rsidP="005C0A32">
      <w:pPr>
        <w:tabs>
          <w:tab w:val="left" w:pos="2638"/>
        </w:tabs>
        <w:rPr>
          <w:lang w:val="tr-T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2012"/>
        <w:gridCol w:w="1410"/>
        <w:gridCol w:w="1410"/>
      </w:tblGrid>
      <w:tr w:rsidR="005C0A32" w:rsidTr="00FE2A92">
        <w:tc>
          <w:tcPr>
            <w:tcW w:w="704" w:type="dxa"/>
          </w:tcPr>
          <w:p w:rsidR="005C0A32" w:rsidRPr="004D293D" w:rsidRDefault="005C0A32" w:rsidP="00FE2A92">
            <w:pPr>
              <w:tabs>
                <w:tab w:val="left" w:pos="2638"/>
              </w:tabs>
              <w:rPr>
                <w:b/>
                <w:bCs/>
                <w:lang w:val="tr-TR"/>
              </w:rPr>
            </w:pPr>
            <w:r w:rsidRPr="004D293D">
              <w:rPr>
                <w:b/>
                <w:bCs/>
                <w:lang w:val="tr-TR"/>
              </w:rPr>
              <w:t>Sıra</w:t>
            </w:r>
          </w:p>
        </w:tc>
        <w:tc>
          <w:tcPr>
            <w:tcW w:w="2012" w:type="dxa"/>
          </w:tcPr>
          <w:p w:rsidR="005C0A32" w:rsidRPr="004D293D" w:rsidRDefault="005C0A32" w:rsidP="00FE2A92">
            <w:pPr>
              <w:tabs>
                <w:tab w:val="left" w:pos="2638"/>
              </w:tabs>
              <w:rPr>
                <w:b/>
                <w:bCs/>
                <w:lang w:val="tr-TR"/>
              </w:rPr>
            </w:pPr>
            <w:r w:rsidRPr="004D293D">
              <w:rPr>
                <w:b/>
                <w:bCs/>
                <w:lang w:val="tr-TR"/>
              </w:rPr>
              <w:t>Şirket</w:t>
            </w:r>
          </w:p>
        </w:tc>
        <w:tc>
          <w:tcPr>
            <w:tcW w:w="1410" w:type="dxa"/>
          </w:tcPr>
          <w:p w:rsidR="005C0A32" w:rsidRPr="004D293D" w:rsidRDefault="005C0A32" w:rsidP="00FE2A92">
            <w:pPr>
              <w:tabs>
                <w:tab w:val="left" w:pos="2638"/>
              </w:tabs>
              <w:rPr>
                <w:b/>
                <w:bCs/>
                <w:lang w:val="tr-TR"/>
              </w:rPr>
            </w:pPr>
            <w:r w:rsidRPr="004D293D">
              <w:rPr>
                <w:b/>
                <w:bCs/>
                <w:lang w:val="tr-TR"/>
              </w:rPr>
              <w:t>Ülke</w:t>
            </w:r>
          </w:p>
        </w:tc>
        <w:tc>
          <w:tcPr>
            <w:tcW w:w="1410" w:type="dxa"/>
          </w:tcPr>
          <w:p w:rsidR="005C0A32" w:rsidRPr="004D293D" w:rsidRDefault="005C0A32" w:rsidP="00FE2A92">
            <w:pPr>
              <w:tabs>
                <w:tab w:val="left" w:pos="2638"/>
              </w:tabs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Sektör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012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Walmart</w:t>
            </w:r>
            <w:proofErr w:type="spellEnd"/>
          </w:p>
        </w:tc>
        <w:tc>
          <w:tcPr>
            <w:tcW w:w="1410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Parakende</w:t>
            </w:r>
            <w:proofErr w:type="spellEnd"/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012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Sinopec</w:t>
            </w:r>
            <w:proofErr w:type="spellEnd"/>
          </w:p>
        </w:tc>
        <w:tc>
          <w:tcPr>
            <w:tcW w:w="1410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Çin</w:t>
            </w:r>
          </w:p>
        </w:tc>
        <w:tc>
          <w:tcPr>
            <w:tcW w:w="1410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Enerji &amp; Kimya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</w:p>
        </w:tc>
        <w:tc>
          <w:tcPr>
            <w:tcW w:w="2012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Shell</w:t>
            </w:r>
          </w:p>
        </w:tc>
        <w:tc>
          <w:tcPr>
            <w:tcW w:w="1410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Hollanda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012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CNPC</w:t>
            </w:r>
          </w:p>
        </w:tc>
        <w:tc>
          <w:tcPr>
            <w:tcW w:w="1410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Çin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Enerji &amp; Kimya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2012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State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Grid</w:t>
            </w:r>
            <w:proofErr w:type="spellEnd"/>
          </w:p>
        </w:tc>
        <w:tc>
          <w:tcPr>
            <w:tcW w:w="1410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Çin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Enerji &amp; Kimya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2012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Saudi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Aramco</w:t>
            </w:r>
            <w:proofErr w:type="spellEnd"/>
          </w:p>
        </w:tc>
        <w:tc>
          <w:tcPr>
            <w:tcW w:w="1410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Suudi Arabistan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Enerji&amp; Kimya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2012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BP</w:t>
            </w:r>
          </w:p>
        </w:tc>
        <w:tc>
          <w:tcPr>
            <w:tcW w:w="1410" w:type="dxa"/>
          </w:tcPr>
          <w:p w:rsidR="005C0A32" w:rsidRPr="0003492E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Enerji&amp; Kimya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Exxon</w:t>
            </w:r>
            <w:proofErr w:type="spellEnd"/>
            <w:r>
              <w:rPr>
                <w:lang w:val="tr-TR"/>
              </w:rPr>
              <w:t xml:space="preserve"> Mobil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Enerji&amp; Kimya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Wolkswagen</w:t>
            </w:r>
            <w:proofErr w:type="spellEnd"/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Almanya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Otomotiv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Toyota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Japonya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Otomotiv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11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Apple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Telekom &amp; IT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12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Berkshire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Hathaway</w:t>
            </w:r>
            <w:proofErr w:type="spellEnd"/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Finasal</w:t>
            </w:r>
            <w:proofErr w:type="spellEnd"/>
            <w:r>
              <w:rPr>
                <w:lang w:val="tr-TR"/>
              </w:rPr>
              <w:t xml:space="preserve"> Hizmetler &amp; Sigorta, Telekom &amp;IT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13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Amazon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 xml:space="preserve">ABD 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Parakende</w:t>
            </w:r>
            <w:proofErr w:type="spellEnd"/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14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 xml:space="preserve">United </w:t>
            </w:r>
            <w:proofErr w:type="spellStart"/>
            <w:r>
              <w:rPr>
                <w:lang w:val="tr-TR"/>
              </w:rPr>
              <w:t>Health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Group</w:t>
            </w:r>
            <w:proofErr w:type="spellEnd"/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İlaç &amp; hayat, Teknoloji Genel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15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Samsung</w:t>
            </w:r>
            <w:proofErr w:type="spellEnd"/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Güney Kore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Teknoloj</w:t>
            </w:r>
            <w:proofErr w:type="spellEnd"/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16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Glencore</w:t>
            </w:r>
            <w:proofErr w:type="spellEnd"/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İsviçre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Snayi</w:t>
            </w:r>
            <w:proofErr w:type="spellEnd"/>
            <w:r>
              <w:rPr>
                <w:lang w:val="tr-TR"/>
              </w:rPr>
              <w:t xml:space="preserve"> ürünleri ve hizmetleri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17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McKesson</w:t>
            </w:r>
            <w:proofErr w:type="spellEnd"/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İlaç ve hayat</w:t>
            </w: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19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 xml:space="preserve">CVS </w:t>
            </w:r>
            <w:proofErr w:type="spellStart"/>
            <w:r>
              <w:rPr>
                <w:lang w:val="tr-TR"/>
              </w:rPr>
              <w:t>Health</w:t>
            </w:r>
            <w:proofErr w:type="spellEnd"/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ABD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proofErr w:type="spellStart"/>
            <w:r>
              <w:rPr>
                <w:lang w:val="tr-TR"/>
              </w:rPr>
              <w:t>Parakende</w:t>
            </w:r>
            <w:proofErr w:type="spellEnd"/>
          </w:p>
        </w:tc>
      </w:tr>
      <w:tr w:rsidR="005C0A32" w:rsidTr="00FE2A92">
        <w:tc>
          <w:tcPr>
            <w:tcW w:w="704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20</w:t>
            </w:r>
          </w:p>
        </w:tc>
        <w:tc>
          <w:tcPr>
            <w:tcW w:w="2012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Total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 xml:space="preserve">Fransa </w:t>
            </w:r>
          </w:p>
        </w:tc>
        <w:tc>
          <w:tcPr>
            <w:tcW w:w="1410" w:type="dxa"/>
          </w:tcPr>
          <w:p w:rsidR="005C0A32" w:rsidRDefault="005C0A32" w:rsidP="00FE2A92">
            <w:pPr>
              <w:tabs>
                <w:tab w:val="left" w:pos="2638"/>
              </w:tabs>
              <w:rPr>
                <w:lang w:val="tr-TR"/>
              </w:rPr>
            </w:pPr>
            <w:r>
              <w:rPr>
                <w:lang w:val="tr-TR"/>
              </w:rPr>
              <w:t>Enerji &amp; Kimya</w:t>
            </w:r>
          </w:p>
        </w:tc>
      </w:tr>
    </w:tbl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Default="005C0A32" w:rsidP="0003492E">
      <w:pPr>
        <w:tabs>
          <w:tab w:val="left" w:pos="2638"/>
        </w:tabs>
        <w:rPr>
          <w:lang w:val="tr-TR"/>
        </w:rPr>
      </w:pPr>
    </w:p>
    <w:p w:rsidR="005C0A32" w:rsidRPr="004D293D" w:rsidRDefault="005C0A32" w:rsidP="0003492E">
      <w:pPr>
        <w:tabs>
          <w:tab w:val="left" w:pos="2638"/>
        </w:tabs>
        <w:rPr>
          <w:lang w:val="tr-TR"/>
        </w:rPr>
      </w:pPr>
      <w:proofErr w:type="spellStart"/>
      <w:r>
        <w:rPr>
          <w:lang w:val="tr-TR"/>
        </w:rPr>
        <w:t>Fortune</w:t>
      </w:r>
      <w:proofErr w:type="spellEnd"/>
      <w:r>
        <w:rPr>
          <w:lang w:val="tr-TR"/>
        </w:rPr>
        <w:t xml:space="preserve"> 500 listesine Türkiye’den sadece 423. Sırada Koç Holding girmiştir. </w:t>
      </w:r>
    </w:p>
    <w:sectPr w:rsidR="005C0A32" w:rsidRPr="004D293D" w:rsidSect="00A13F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2E"/>
    <w:rsid w:val="0003492E"/>
    <w:rsid w:val="00136B23"/>
    <w:rsid w:val="004C5879"/>
    <w:rsid w:val="004D293D"/>
    <w:rsid w:val="005C0A32"/>
    <w:rsid w:val="00655A6D"/>
    <w:rsid w:val="008244C8"/>
    <w:rsid w:val="00A13F51"/>
    <w:rsid w:val="00D268D5"/>
    <w:rsid w:val="00D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F49D78"/>
  <w15:chartTrackingRefBased/>
  <w15:docId w15:val="{8388BA81-DA49-9C4A-804D-80D91E78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İhsan Karacan</dc:creator>
  <cp:keywords/>
  <dc:description/>
  <cp:lastModifiedBy>Ali İhsan Karacan</cp:lastModifiedBy>
  <cp:revision>3</cp:revision>
  <dcterms:created xsi:type="dcterms:W3CDTF">2020-03-27T08:08:00Z</dcterms:created>
  <dcterms:modified xsi:type="dcterms:W3CDTF">2020-03-27T09:33:00Z</dcterms:modified>
</cp:coreProperties>
</file>